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65D965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04549054">
            <w:pPr>
              <w:pStyle w:val="18"/>
              <w:framePr w:wrap="notBeside" w:vAnchor="page" w:hAnchor="page" w:x="1372" w:y="568"/>
              <w:tabs>
                <w:tab w:val="clear" w:pos="4153"/>
                <w:tab w:val="clear" w:pos="8306"/>
              </w:tabs>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570A9CCD">
            <w:pPr>
              <w:pStyle w:val="18"/>
              <w:framePr w:wrap="notBeside" w:vAnchor="page" w:hAnchor="page" w:x="1372" w:y="568"/>
              <w:tabs>
                <w:tab w:val="clear" w:pos="4153"/>
                <w:tab w:val="clear" w:pos="8306"/>
              </w:tabs>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67.120.10</w:t>
            </w:r>
            <w:r>
              <w:rPr>
                <w:rFonts w:ascii="黑体" w:hAnsi="黑体" w:eastAsia="黑体"/>
                <w:sz w:val="21"/>
                <w:szCs w:val="21"/>
              </w:rPr>
              <w:fldChar w:fldCharType="end"/>
            </w:r>
            <w:bookmarkEnd w:id="0"/>
          </w:p>
        </w:tc>
      </w:tr>
      <w:tr w14:paraId="009077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63DD8B4D">
            <w:pPr>
              <w:pStyle w:val="18"/>
              <w:framePr w:wrap="notBeside" w:vAnchor="page" w:hAnchor="page" w:x="1372" w:y="568"/>
              <w:tabs>
                <w:tab w:val="clear" w:pos="4153"/>
                <w:tab w:val="clear" w:pos="8306"/>
              </w:tabs>
              <w:spacing w:before="40"/>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7"/>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714BD047">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023E9101">
                  <w:pPr>
                    <w:pStyle w:val="49"/>
                    <w:framePr w:wrap="notBeside" w:vAnchor="page" w:hAnchor="page" w:x="1372" w:y="568"/>
                    <w:ind w:left="420" w:right="624"/>
                    <w:rPr>
                      <w:rFonts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GXAS</w:t>
                  </w:r>
                  <w:r>
                    <w:fldChar w:fldCharType="end"/>
                  </w:r>
                  <w:bookmarkEnd w:id="1"/>
                </w:p>
              </w:tc>
            </w:tr>
          </w:tbl>
          <w:p w14:paraId="037FD1BE">
            <w:pPr>
              <w:pStyle w:val="18"/>
              <w:framePr w:wrap="notBeside" w:vAnchor="page" w:hAnchor="page" w:x="1372" w:y="568"/>
              <w:tabs>
                <w:tab w:val="clear" w:pos="4153"/>
                <w:tab w:val="clear" w:pos="8306"/>
              </w:tabs>
              <w:spacing w:before="40"/>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B 45</w:t>
            </w:r>
            <w:r>
              <w:rPr>
                <w:rFonts w:ascii="黑体" w:hAnsi="黑体" w:eastAsia="黑体"/>
                <w:sz w:val="21"/>
                <w:szCs w:val="21"/>
              </w:rPr>
              <w:fldChar w:fldCharType="end"/>
            </w:r>
            <w:bookmarkEnd w:id="2"/>
          </w:p>
        </w:tc>
      </w:tr>
    </w:tbl>
    <w:p w14:paraId="45F051A8">
      <w:pPr>
        <w:pStyle w:val="50"/>
        <w:framePr w:w="9639" w:h="624" w:hRule="exact" w:hSpace="181" w:vSpace="181" w:wrap="around" w:hAnchor="page" w:x="1305" w:y="2269"/>
        <w:rPr>
          <w:rFonts w:ascii="黑体" w:hAnsi="黑体" w:eastAsia="黑体"/>
          <w:b w:val="0"/>
          <w:bCs w:val="0"/>
          <w:w w:val="100"/>
          <w:sz w:val="48"/>
          <w:szCs w:val="48"/>
        </w:rPr>
      </w:pPr>
      <w:bookmarkStart w:id="3" w:name="_Hlk26473981"/>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14:paraId="4E9EFCEE">
      <w:pPr>
        <w:pStyle w:val="195"/>
      </w:pPr>
      <w:r>
        <w:t>T/</w:t>
      </w:r>
      <w:r>
        <w:fldChar w:fldCharType="begin">
          <w:ffData>
            <w:name w:val="文字1"/>
            <w:enabled/>
            <w:calcOnExit w:val="0"/>
            <w:textInput>
              <w:default w:val="XXX"/>
            </w:textInput>
          </w:ffData>
        </w:fldChar>
      </w:r>
      <w:bookmarkStart w:id="4" w:name="文字1"/>
      <w:r>
        <w:instrText xml:space="preserve"> FORMTEXT </w:instrText>
      </w:r>
      <w:r>
        <w:fldChar w:fldCharType="separate"/>
      </w:r>
      <w:r>
        <w:t>XXX</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14:paraId="286CCD97">
      <w:pPr>
        <w:pStyle w:val="196"/>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7"/>
    </w:p>
    <w:p w14:paraId="15154CE1">
      <w:pPr>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6397C469">
      <w:pPr>
        <w:pStyle w:val="50"/>
        <w:framePr w:w="9639" w:h="6976" w:hRule="exact" w:hSpace="0" w:vSpace="0" w:wrap="around" w:hAnchor="page" w:y="6408"/>
        <w:jc w:val="center"/>
        <w:rPr>
          <w:rFonts w:ascii="黑体" w:hAnsi="黑体" w:eastAsia="黑体"/>
          <w:b w:val="0"/>
          <w:bCs w:val="0"/>
          <w:w w:val="100"/>
        </w:rPr>
      </w:pPr>
    </w:p>
    <w:p w14:paraId="150B4E2B">
      <w:pPr>
        <w:pStyle w:val="197"/>
        <w:framePr w:h="6974" w:hRule="exact" w:wrap="around" w:x="1419" w:anchorLock="1"/>
      </w:pPr>
      <w:bookmarkStart w:id="8" w:name="OLE_LINK71"/>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地理标志农产品  浦北黑猪加工产品仓储管理规范</w:t>
      </w:r>
      <w:r>
        <w:fldChar w:fldCharType="end"/>
      </w:r>
      <w:bookmarkEnd w:id="9"/>
    </w:p>
    <w:bookmarkEnd w:id="8"/>
    <w:p w14:paraId="081D446D">
      <w:pPr>
        <w:framePr w:w="9639" w:h="6974" w:hRule="exact" w:wrap="around" w:vAnchor="page" w:hAnchor="page" w:x="1419" w:y="6408" w:anchorLock="1"/>
        <w:ind w:left="-1418"/>
      </w:pPr>
    </w:p>
    <w:p w14:paraId="40771E9F">
      <w:pPr>
        <w:pStyle w:val="125"/>
        <w:framePr w:w="9639" w:h="6974" w:hRule="exact" w:wrap="around" w:vAnchor="page" w:hAnchor="page" w:x="1419" w:y="6408" w:anchorLock="1"/>
        <w:textAlignment w:val="bottom"/>
        <w:rPr>
          <w:rFonts w:ascii="黑体" w:hAnsi="黑体"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ascii="黑体" w:hAnsi="黑体" w:eastAsia="黑体"/>
          <w:szCs w:val="28"/>
        </w:rPr>
        <w:t>Specifications for warehouse management of processed products of agro-product geographical indication——Pubei black pig</w:t>
      </w:r>
      <w:r>
        <w:rPr>
          <w:rFonts w:ascii="黑体" w:hAnsi="黑体" w:eastAsia="黑体"/>
          <w:szCs w:val="28"/>
        </w:rPr>
        <w:fldChar w:fldCharType="end"/>
      </w:r>
      <w:bookmarkEnd w:id="10"/>
    </w:p>
    <w:p w14:paraId="5B04267F">
      <w:pPr>
        <w:framePr w:w="9639" w:h="6974" w:hRule="exact" w:wrap="around" w:vAnchor="page" w:hAnchor="page" w:x="1419" w:y="6408" w:anchorLock="1"/>
        <w:spacing w:line="760" w:lineRule="exact"/>
        <w:ind w:left="-1418"/>
      </w:pPr>
    </w:p>
    <w:p w14:paraId="070ED394">
      <w:pPr>
        <w:pStyle w:val="125"/>
        <w:framePr w:w="9639" w:h="6974" w:hRule="exact" w:wrap="around" w:vAnchor="page" w:hAnchor="page" w:x="1419" w:y="6408" w:anchorLock="1"/>
        <w:textAlignment w:val="bottom"/>
        <w:rPr>
          <w:rFonts w:eastAsia="黑体"/>
          <w:szCs w:val="28"/>
        </w:rPr>
      </w:pPr>
    </w:p>
    <w:p w14:paraId="7C6A3855">
      <w:pPr>
        <w:pStyle w:val="125"/>
        <w:framePr w:w="9639" w:h="6974" w:hRule="exact" w:wrap="around" w:vAnchor="page" w:hAnchor="page" w:x="1419" w:y="6408" w:anchorLock="1"/>
        <w:spacing w:before="440" w:after="160"/>
        <w:textAlignment w:val="bottom"/>
        <w:rPr>
          <w:sz w:val="24"/>
          <w:szCs w:val="28"/>
        </w:rPr>
      </w:pPr>
      <w:bookmarkStart w:id="93" w:name="_GoBack"/>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bookmarkEnd w:id="93"/>
    </w:p>
    <w:p w14:paraId="724F3220">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24134ABB">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6A674893">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5AA5E1FB">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6581341B">
      <w:pPr>
        <w:pStyle w:val="151"/>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广西标准</w:t>
      </w:r>
      <w:r>
        <w:rPr>
          <w:rFonts w:hAnsi="黑体"/>
          <w:w w:val="100"/>
          <w:sz w:val="28"/>
        </w:rPr>
        <w:t>化协会</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7F49F371">
      <w:pPr>
        <w:rPr>
          <w:rFonts w:ascii="宋体" w:hAnsi="宋体"/>
          <w:sz w:val="28"/>
          <w:szCs w:val="28"/>
        </w:rPr>
        <w:sectPr>
          <w:headerReference r:id="rId5" w:type="first"/>
          <w:footerReference r:id="rId8" w:type="first"/>
          <w:headerReference r:id="rId3" w:type="default"/>
          <w:footerReference r:id="rId6" w:type="default"/>
          <w:headerReference r:id="rId4" w:type="even"/>
          <w:footerReference r:id="rId7"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275A7EBD">
      <w:pPr>
        <w:pStyle w:val="91"/>
        <w:spacing w:after="360"/>
      </w:pPr>
      <w:bookmarkStart w:id="21" w:name="BookMark1"/>
      <w:r>
        <w:rPr>
          <w:rFonts w:hint="eastAsia"/>
          <w:spacing w:val="320"/>
        </w:rPr>
        <w:t>目</w:t>
      </w:r>
      <w:r>
        <w:rPr>
          <w:rFonts w:hint="eastAsia"/>
        </w:rPr>
        <w:t>次</w:t>
      </w:r>
    </w:p>
    <w:p w14:paraId="5DBD8AE1">
      <w:pPr>
        <w:pStyle w:val="19"/>
        <w:tabs>
          <w:tab w:val="right" w:leader="dot" w:pos="9344"/>
        </w:tabs>
        <w:rPr>
          <w:rFonts w:asciiTheme="minorHAnsi" w:hAnsiTheme="minorHAnsi" w:eastAsiaTheme="minorEastAsia" w:cstheme="minorBidi"/>
          <w:szCs w:val="22"/>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"_Toc209536341" </w:instrText>
      </w:r>
      <w:r>
        <w:fldChar w:fldCharType="separate"/>
      </w:r>
      <w:r>
        <w:rPr>
          <w:rStyle w:val="32"/>
        </w:rPr>
        <w:t>前言</w:t>
      </w:r>
      <w:r>
        <w:tab/>
      </w:r>
      <w:r>
        <w:fldChar w:fldCharType="begin"/>
      </w:r>
      <w:r>
        <w:instrText xml:space="preserve"> PAGEREF _Toc209536341 \h </w:instrText>
      </w:r>
      <w:r>
        <w:fldChar w:fldCharType="separate"/>
      </w:r>
      <w:r>
        <w:t>II</w:t>
      </w:r>
      <w:r>
        <w:fldChar w:fldCharType="end"/>
      </w:r>
      <w:r>
        <w:fldChar w:fldCharType="end"/>
      </w:r>
    </w:p>
    <w:p w14:paraId="11084838">
      <w:pPr>
        <w:pStyle w:val="19"/>
        <w:tabs>
          <w:tab w:val="right" w:leader="dot" w:pos="9344"/>
        </w:tabs>
        <w:rPr>
          <w:rFonts w:asciiTheme="minorHAnsi" w:hAnsiTheme="minorHAnsi" w:eastAsiaTheme="minorEastAsia" w:cstheme="minorBidi"/>
          <w:szCs w:val="22"/>
        </w:rPr>
      </w:pPr>
      <w:r>
        <w:fldChar w:fldCharType="begin"/>
      </w:r>
      <w:r>
        <w:instrText xml:space="preserve"> HYPERLINK \l "_Toc209536342" </w:instrText>
      </w:r>
      <w:r>
        <w:fldChar w:fldCharType="separate"/>
      </w:r>
      <w:r>
        <w:rPr>
          <w:rStyle w:val="32"/>
        </w:rPr>
        <w:t>1  范围</w:t>
      </w:r>
      <w:r>
        <w:tab/>
      </w:r>
      <w:r>
        <w:fldChar w:fldCharType="begin"/>
      </w:r>
      <w:r>
        <w:instrText xml:space="preserve"> PAGEREF _Toc209536342 \h </w:instrText>
      </w:r>
      <w:r>
        <w:fldChar w:fldCharType="separate"/>
      </w:r>
      <w:r>
        <w:t>1</w:t>
      </w:r>
      <w:r>
        <w:fldChar w:fldCharType="end"/>
      </w:r>
      <w:r>
        <w:fldChar w:fldCharType="end"/>
      </w:r>
    </w:p>
    <w:p w14:paraId="3ADFD223">
      <w:pPr>
        <w:pStyle w:val="19"/>
        <w:tabs>
          <w:tab w:val="right" w:leader="dot" w:pos="9344"/>
        </w:tabs>
        <w:rPr>
          <w:rFonts w:asciiTheme="minorHAnsi" w:hAnsiTheme="minorHAnsi" w:eastAsiaTheme="minorEastAsia" w:cstheme="minorBidi"/>
          <w:szCs w:val="22"/>
        </w:rPr>
      </w:pPr>
      <w:r>
        <w:fldChar w:fldCharType="begin"/>
      </w:r>
      <w:r>
        <w:instrText xml:space="preserve"> HYPERLINK \l "_Toc209536343" </w:instrText>
      </w:r>
      <w:r>
        <w:fldChar w:fldCharType="separate"/>
      </w:r>
      <w:r>
        <w:rPr>
          <w:rStyle w:val="32"/>
        </w:rPr>
        <w:t>2  规范性引用文件</w:t>
      </w:r>
      <w:r>
        <w:tab/>
      </w:r>
      <w:r>
        <w:fldChar w:fldCharType="begin"/>
      </w:r>
      <w:r>
        <w:instrText xml:space="preserve"> PAGEREF _Toc209536343 \h </w:instrText>
      </w:r>
      <w:r>
        <w:fldChar w:fldCharType="separate"/>
      </w:r>
      <w:r>
        <w:t>1</w:t>
      </w:r>
      <w:r>
        <w:fldChar w:fldCharType="end"/>
      </w:r>
      <w:r>
        <w:fldChar w:fldCharType="end"/>
      </w:r>
    </w:p>
    <w:p w14:paraId="0419422B">
      <w:pPr>
        <w:pStyle w:val="19"/>
        <w:tabs>
          <w:tab w:val="right" w:leader="dot" w:pos="9344"/>
        </w:tabs>
        <w:rPr>
          <w:rFonts w:asciiTheme="minorHAnsi" w:hAnsiTheme="minorHAnsi" w:eastAsiaTheme="minorEastAsia" w:cstheme="minorBidi"/>
          <w:szCs w:val="22"/>
        </w:rPr>
      </w:pPr>
      <w:r>
        <w:fldChar w:fldCharType="begin"/>
      </w:r>
      <w:r>
        <w:instrText xml:space="preserve"> HYPERLINK \l "_Toc209536344" </w:instrText>
      </w:r>
      <w:r>
        <w:fldChar w:fldCharType="separate"/>
      </w:r>
      <w:r>
        <w:rPr>
          <w:rStyle w:val="32"/>
        </w:rPr>
        <w:t>3  术语和定义</w:t>
      </w:r>
      <w:r>
        <w:tab/>
      </w:r>
      <w:r>
        <w:fldChar w:fldCharType="begin"/>
      </w:r>
      <w:r>
        <w:instrText xml:space="preserve"> PAGEREF _Toc209536344 \h </w:instrText>
      </w:r>
      <w:r>
        <w:fldChar w:fldCharType="separate"/>
      </w:r>
      <w:r>
        <w:t>1</w:t>
      </w:r>
      <w:r>
        <w:fldChar w:fldCharType="end"/>
      </w:r>
      <w:r>
        <w:fldChar w:fldCharType="end"/>
      </w:r>
    </w:p>
    <w:p w14:paraId="340759D7">
      <w:pPr>
        <w:pStyle w:val="19"/>
        <w:tabs>
          <w:tab w:val="right" w:leader="dot" w:pos="9344"/>
        </w:tabs>
        <w:rPr>
          <w:rFonts w:asciiTheme="minorHAnsi" w:hAnsiTheme="minorHAnsi" w:eastAsiaTheme="minorEastAsia" w:cstheme="minorBidi"/>
          <w:szCs w:val="22"/>
        </w:rPr>
      </w:pPr>
      <w:r>
        <w:fldChar w:fldCharType="begin"/>
      </w:r>
      <w:r>
        <w:instrText xml:space="preserve"> HYPERLINK \l "_Toc209536345" </w:instrText>
      </w:r>
      <w:r>
        <w:fldChar w:fldCharType="separate"/>
      </w:r>
      <w:r>
        <w:rPr>
          <w:rStyle w:val="32"/>
        </w:rPr>
        <w:t>4  基本要求</w:t>
      </w:r>
      <w:r>
        <w:tab/>
      </w:r>
      <w:r>
        <w:fldChar w:fldCharType="begin"/>
      </w:r>
      <w:r>
        <w:instrText xml:space="preserve"> PAGEREF _Toc209536345 \h </w:instrText>
      </w:r>
      <w:r>
        <w:fldChar w:fldCharType="separate"/>
      </w:r>
      <w:r>
        <w:t>1</w:t>
      </w:r>
      <w:r>
        <w:fldChar w:fldCharType="end"/>
      </w:r>
      <w:r>
        <w:fldChar w:fldCharType="end"/>
      </w:r>
    </w:p>
    <w:p w14:paraId="2F751B51">
      <w:pPr>
        <w:pStyle w:val="24"/>
        <w:rPr>
          <w:rFonts w:asciiTheme="minorHAnsi" w:hAnsiTheme="minorHAnsi" w:eastAsiaTheme="minorEastAsia" w:cstheme="minorBidi"/>
          <w:szCs w:val="22"/>
        </w:rPr>
      </w:pPr>
      <w:r>
        <w:fldChar w:fldCharType="begin"/>
      </w:r>
      <w:r>
        <w:instrText xml:space="preserve"> HYPERLINK \l "_Toc209536346" </w:instrText>
      </w:r>
      <w:r>
        <w:fldChar w:fldCharType="separate"/>
      </w:r>
      <w:r>
        <w:rPr>
          <w:rStyle w:val="32"/>
          <w14:scene3d>
            <w14:lightRig w14:rig="threePt" w14:dir="t">
              <w14:rot w14:lat="0" w14:lon="0" w14:rev="0"/>
            </w14:lightRig>
          </w14:scene3d>
        </w:rPr>
        <w:t xml:space="preserve">4.1 </w:t>
      </w:r>
      <w:r>
        <w:rPr>
          <w:rStyle w:val="32"/>
        </w:rPr>
        <w:t xml:space="preserve"> 人员要求</w:t>
      </w:r>
      <w:r>
        <w:tab/>
      </w:r>
      <w:r>
        <w:fldChar w:fldCharType="begin"/>
      </w:r>
      <w:r>
        <w:instrText xml:space="preserve"> PAGEREF _Toc209536346 \h </w:instrText>
      </w:r>
      <w:r>
        <w:fldChar w:fldCharType="separate"/>
      </w:r>
      <w:r>
        <w:t>1</w:t>
      </w:r>
      <w:r>
        <w:fldChar w:fldCharType="end"/>
      </w:r>
      <w:r>
        <w:fldChar w:fldCharType="end"/>
      </w:r>
    </w:p>
    <w:p w14:paraId="7284F115">
      <w:pPr>
        <w:pStyle w:val="24"/>
        <w:rPr>
          <w:rFonts w:asciiTheme="minorHAnsi" w:hAnsiTheme="minorHAnsi" w:eastAsiaTheme="minorEastAsia" w:cstheme="minorBidi"/>
          <w:szCs w:val="22"/>
        </w:rPr>
      </w:pPr>
      <w:r>
        <w:fldChar w:fldCharType="begin"/>
      </w:r>
      <w:r>
        <w:instrText xml:space="preserve"> HYPERLINK \l "_Toc209536347" </w:instrText>
      </w:r>
      <w:r>
        <w:fldChar w:fldCharType="separate"/>
      </w:r>
      <w:r>
        <w:rPr>
          <w:rStyle w:val="32"/>
          <w14:scene3d>
            <w14:lightRig w14:rig="threePt" w14:dir="t">
              <w14:rot w14:lat="0" w14:lon="0" w14:rev="0"/>
            </w14:lightRig>
          </w14:scene3d>
        </w:rPr>
        <w:t xml:space="preserve">4.2 </w:t>
      </w:r>
      <w:r>
        <w:rPr>
          <w:rStyle w:val="32"/>
        </w:rPr>
        <w:t xml:space="preserve"> 管理要求</w:t>
      </w:r>
      <w:r>
        <w:tab/>
      </w:r>
      <w:r>
        <w:fldChar w:fldCharType="begin"/>
      </w:r>
      <w:r>
        <w:instrText xml:space="preserve"> PAGEREF _Toc209536347 \h </w:instrText>
      </w:r>
      <w:r>
        <w:fldChar w:fldCharType="separate"/>
      </w:r>
      <w:r>
        <w:t>1</w:t>
      </w:r>
      <w:r>
        <w:fldChar w:fldCharType="end"/>
      </w:r>
      <w:r>
        <w:fldChar w:fldCharType="end"/>
      </w:r>
    </w:p>
    <w:p w14:paraId="7A72FC9E">
      <w:pPr>
        <w:pStyle w:val="24"/>
        <w:rPr>
          <w:rFonts w:asciiTheme="minorHAnsi" w:hAnsiTheme="minorHAnsi" w:eastAsiaTheme="minorEastAsia" w:cstheme="minorBidi"/>
          <w:szCs w:val="22"/>
        </w:rPr>
      </w:pPr>
      <w:r>
        <w:fldChar w:fldCharType="begin"/>
      </w:r>
      <w:r>
        <w:instrText xml:space="preserve"> HYPERLINK \l "_Toc209536348" </w:instrText>
      </w:r>
      <w:r>
        <w:fldChar w:fldCharType="separate"/>
      </w:r>
      <w:r>
        <w:rPr>
          <w:rStyle w:val="32"/>
          <w14:scene3d>
            <w14:lightRig w14:rig="threePt" w14:dir="t">
              <w14:rot w14:lat="0" w14:lon="0" w14:rev="0"/>
            </w14:lightRig>
          </w14:scene3d>
        </w:rPr>
        <w:t xml:space="preserve">4.3 </w:t>
      </w:r>
      <w:r>
        <w:rPr>
          <w:rStyle w:val="32"/>
        </w:rPr>
        <w:t xml:space="preserve"> 设施与设备</w:t>
      </w:r>
      <w:r>
        <w:tab/>
      </w:r>
      <w:r>
        <w:fldChar w:fldCharType="begin"/>
      </w:r>
      <w:r>
        <w:instrText xml:space="preserve"> PAGEREF _Toc209536348 \h </w:instrText>
      </w:r>
      <w:r>
        <w:fldChar w:fldCharType="separate"/>
      </w:r>
      <w:r>
        <w:t>1</w:t>
      </w:r>
      <w:r>
        <w:fldChar w:fldCharType="end"/>
      </w:r>
      <w:r>
        <w:fldChar w:fldCharType="end"/>
      </w:r>
    </w:p>
    <w:p w14:paraId="46E262E4">
      <w:pPr>
        <w:pStyle w:val="19"/>
        <w:tabs>
          <w:tab w:val="right" w:leader="dot" w:pos="9344"/>
        </w:tabs>
        <w:rPr>
          <w:rFonts w:asciiTheme="minorHAnsi" w:hAnsiTheme="minorHAnsi" w:eastAsiaTheme="minorEastAsia" w:cstheme="minorBidi"/>
          <w:szCs w:val="22"/>
        </w:rPr>
      </w:pPr>
      <w:r>
        <w:fldChar w:fldCharType="begin"/>
      </w:r>
      <w:r>
        <w:instrText xml:space="preserve"> HYPERLINK \l "_Toc209536349" </w:instrText>
      </w:r>
      <w:r>
        <w:fldChar w:fldCharType="separate"/>
      </w:r>
      <w:r>
        <w:rPr>
          <w:rStyle w:val="32"/>
        </w:rPr>
        <w:t>5  产品仓储</w:t>
      </w:r>
      <w:r>
        <w:tab/>
      </w:r>
      <w:r>
        <w:fldChar w:fldCharType="begin"/>
      </w:r>
      <w:r>
        <w:instrText xml:space="preserve"> PAGEREF _Toc209536349 \h </w:instrText>
      </w:r>
      <w:r>
        <w:fldChar w:fldCharType="separate"/>
      </w:r>
      <w:r>
        <w:t>2</w:t>
      </w:r>
      <w:r>
        <w:fldChar w:fldCharType="end"/>
      </w:r>
      <w:r>
        <w:fldChar w:fldCharType="end"/>
      </w:r>
    </w:p>
    <w:p w14:paraId="51D9A2B8">
      <w:pPr>
        <w:pStyle w:val="24"/>
        <w:rPr>
          <w:rFonts w:asciiTheme="minorHAnsi" w:hAnsiTheme="minorHAnsi" w:eastAsiaTheme="minorEastAsia" w:cstheme="minorBidi"/>
          <w:szCs w:val="22"/>
        </w:rPr>
      </w:pPr>
      <w:r>
        <w:fldChar w:fldCharType="begin"/>
      </w:r>
      <w:r>
        <w:instrText xml:space="preserve"> HYPERLINK \l "_Toc209536350" </w:instrText>
      </w:r>
      <w:r>
        <w:fldChar w:fldCharType="separate"/>
      </w:r>
      <w:r>
        <w:rPr>
          <w:rStyle w:val="32"/>
          <w14:scene3d>
            <w14:lightRig w14:rig="threePt" w14:dir="t">
              <w14:rot w14:lat="0" w14:lon="0" w14:rev="0"/>
            </w14:lightRig>
          </w14:scene3d>
        </w:rPr>
        <w:t xml:space="preserve">5.1 </w:t>
      </w:r>
      <w:r>
        <w:rPr>
          <w:rStyle w:val="32"/>
        </w:rPr>
        <w:t xml:space="preserve"> 验收入库</w:t>
      </w:r>
      <w:r>
        <w:tab/>
      </w:r>
      <w:r>
        <w:fldChar w:fldCharType="begin"/>
      </w:r>
      <w:r>
        <w:instrText xml:space="preserve"> PAGEREF _Toc209536350 \h </w:instrText>
      </w:r>
      <w:r>
        <w:fldChar w:fldCharType="separate"/>
      </w:r>
      <w:r>
        <w:t>2</w:t>
      </w:r>
      <w:r>
        <w:fldChar w:fldCharType="end"/>
      </w:r>
      <w:r>
        <w:fldChar w:fldCharType="end"/>
      </w:r>
    </w:p>
    <w:p w14:paraId="3096E277">
      <w:pPr>
        <w:pStyle w:val="24"/>
        <w:rPr>
          <w:rFonts w:asciiTheme="minorHAnsi" w:hAnsiTheme="minorHAnsi" w:eastAsiaTheme="minorEastAsia" w:cstheme="minorBidi"/>
          <w:szCs w:val="22"/>
        </w:rPr>
      </w:pPr>
      <w:r>
        <w:fldChar w:fldCharType="begin"/>
      </w:r>
      <w:r>
        <w:instrText xml:space="preserve"> HYPERLINK \l "_Toc209536351" </w:instrText>
      </w:r>
      <w:r>
        <w:fldChar w:fldCharType="separate"/>
      </w:r>
      <w:r>
        <w:rPr>
          <w:rStyle w:val="32"/>
          <w14:scene3d>
            <w14:lightRig w14:rig="threePt" w14:dir="t">
              <w14:rot w14:lat="0" w14:lon="0" w14:rev="0"/>
            </w14:lightRig>
          </w14:scene3d>
        </w:rPr>
        <w:t xml:space="preserve">5.2 </w:t>
      </w:r>
      <w:r>
        <w:rPr>
          <w:rStyle w:val="32"/>
        </w:rPr>
        <w:t xml:space="preserve"> 在库维护</w:t>
      </w:r>
      <w:r>
        <w:tab/>
      </w:r>
      <w:r>
        <w:fldChar w:fldCharType="begin"/>
      </w:r>
      <w:r>
        <w:instrText xml:space="preserve"> PAGEREF _Toc209536351 \h </w:instrText>
      </w:r>
      <w:r>
        <w:fldChar w:fldCharType="separate"/>
      </w:r>
      <w:r>
        <w:t>2</w:t>
      </w:r>
      <w:r>
        <w:fldChar w:fldCharType="end"/>
      </w:r>
      <w:r>
        <w:fldChar w:fldCharType="end"/>
      </w:r>
    </w:p>
    <w:p w14:paraId="67815FD8">
      <w:pPr>
        <w:pStyle w:val="24"/>
        <w:rPr>
          <w:rFonts w:asciiTheme="minorHAnsi" w:hAnsiTheme="minorHAnsi" w:eastAsiaTheme="minorEastAsia" w:cstheme="minorBidi"/>
          <w:szCs w:val="22"/>
        </w:rPr>
      </w:pPr>
      <w:r>
        <w:fldChar w:fldCharType="begin"/>
      </w:r>
      <w:r>
        <w:instrText xml:space="preserve"> HYPERLINK \l "_Toc209536352" </w:instrText>
      </w:r>
      <w:r>
        <w:fldChar w:fldCharType="separate"/>
      </w:r>
      <w:r>
        <w:rPr>
          <w:rStyle w:val="32"/>
          <w14:scene3d>
            <w14:lightRig w14:rig="threePt" w14:dir="t">
              <w14:rot w14:lat="0" w14:lon="0" w14:rev="0"/>
            </w14:lightRig>
          </w14:scene3d>
        </w:rPr>
        <w:t xml:space="preserve">5.3 </w:t>
      </w:r>
      <w:r>
        <w:rPr>
          <w:rStyle w:val="32"/>
        </w:rPr>
        <w:t xml:space="preserve"> 出库</w:t>
      </w:r>
      <w:r>
        <w:tab/>
      </w:r>
      <w:r>
        <w:fldChar w:fldCharType="begin"/>
      </w:r>
      <w:r>
        <w:instrText xml:space="preserve"> PAGEREF _Toc209536352 \h </w:instrText>
      </w:r>
      <w:r>
        <w:fldChar w:fldCharType="separate"/>
      </w:r>
      <w:r>
        <w:t>3</w:t>
      </w:r>
      <w:r>
        <w:fldChar w:fldCharType="end"/>
      </w:r>
      <w:r>
        <w:fldChar w:fldCharType="end"/>
      </w:r>
    </w:p>
    <w:p w14:paraId="475A6809">
      <w:pPr>
        <w:pStyle w:val="19"/>
        <w:tabs>
          <w:tab w:val="right" w:leader="dot" w:pos="9344"/>
        </w:tabs>
        <w:rPr>
          <w:rFonts w:asciiTheme="minorHAnsi" w:hAnsiTheme="minorHAnsi" w:eastAsiaTheme="minorEastAsia" w:cstheme="minorBidi"/>
          <w:szCs w:val="22"/>
        </w:rPr>
      </w:pPr>
      <w:r>
        <w:fldChar w:fldCharType="begin"/>
      </w:r>
      <w:r>
        <w:instrText xml:space="preserve"> HYPERLINK \l "_Toc209536353" </w:instrText>
      </w:r>
      <w:r>
        <w:fldChar w:fldCharType="separate"/>
      </w:r>
      <w:r>
        <w:rPr>
          <w:rStyle w:val="32"/>
        </w:rPr>
        <w:t>6  仓储安全</w:t>
      </w:r>
      <w:r>
        <w:tab/>
      </w:r>
      <w:r>
        <w:fldChar w:fldCharType="begin"/>
      </w:r>
      <w:r>
        <w:instrText xml:space="preserve"> PAGEREF _Toc209536353 \h </w:instrText>
      </w:r>
      <w:r>
        <w:fldChar w:fldCharType="separate"/>
      </w:r>
      <w:r>
        <w:t>3</w:t>
      </w:r>
      <w:r>
        <w:fldChar w:fldCharType="end"/>
      </w:r>
      <w:r>
        <w:fldChar w:fldCharType="end"/>
      </w:r>
    </w:p>
    <w:p w14:paraId="4BBC83AC">
      <w:pPr>
        <w:pStyle w:val="24"/>
        <w:rPr>
          <w:rFonts w:asciiTheme="minorHAnsi" w:hAnsiTheme="minorHAnsi" w:eastAsiaTheme="minorEastAsia" w:cstheme="minorBidi"/>
          <w:szCs w:val="22"/>
        </w:rPr>
      </w:pPr>
      <w:r>
        <w:fldChar w:fldCharType="begin"/>
      </w:r>
      <w:r>
        <w:instrText xml:space="preserve"> HYPERLINK \l "_Toc209536354" </w:instrText>
      </w:r>
      <w:r>
        <w:fldChar w:fldCharType="separate"/>
      </w:r>
      <w:r>
        <w:rPr>
          <w:rStyle w:val="32"/>
          <w14:scene3d>
            <w14:lightRig w14:rig="threePt" w14:dir="t">
              <w14:rot w14:lat="0" w14:lon="0" w14:rev="0"/>
            </w14:lightRig>
          </w14:scene3d>
        </w:rPr>
        <w:t xml:space="preserve">6.1 </w:t>
      </w:r>
      <w:r>
        <w:rPr>
          <w:rStyle w:val="32"/>
        </w:rPr>
        <w:t xml:space="preserve"> 人员安全</w:t>
      </w:r>
      <w:r>
        <w:tab/>
      </w:r>
      <w:r>
        <w:fldChar w:fldCharType="begin"/>
      </w:r>
      <w:r>
        <w:instrText xml:space="preserve"> PAGEREF _Toc209536354 \h </w:instrText>
      </w:r>
      <w:r>
        <w:fldChar w:fldCharType="separate"/>
      </w:r>
      <w:r>
        <w:t>3</w:t>
      </w:r>
      <w:r>
        <w:fldChar w:fldCharType="end"/>
      </w:r>
      <w:r>
        <w:fldChar w:fldCharType="end"/>
      </w:r>
    </w:p>
    <w:p w14:paraId="36E32B06">
      <w:pPr>
        <w:pStyle w:val="24"/>
        <w:rPr>
          <w:rFonts w:asciiTheme="minorHAnsi" w:hAnsiTheme="minorHAnsi" w:eastAsiaTheme="minorEastAsia" w:cstheme="minorBidi"/>
          <w:szCs w:val="22"/>
        </w:rPr>
      </w:pPr>
      <w:r>
        <w:fldChar w:fldCharType="begin"/>
      </w:r>
      <w:r>
        <w:instrText xml:space="preserve"> HYPERLINK \l "_Toc209536355" </w:instrText>
      </w:r>
      <w:r>
        <w:fldChar w:fldCharType="separate"/>
      </w:r>
      <w:r>
        <w:rPr>
          <w:rStyle w:val="32"/>
          <w14:scene3d>
            <w14:lightRig w14:rig="threePt" w14:dir="t">
              <w14:rot w14:lat="0" w14:lon="0" w14:rev="0"/>
            </w14:lightRig>
          </w14:scene3d>
        </w:rPr>
        <w:t xml:space="preserve">6.2 </w:t>
      </w:r>
      <w:r>
        <w:rPr>
          <w:rStyle w:val="32"/>
        </w:rPr>
        <w:t xml:space="preserve"> 设施设备安全</w:t>
      </w:r>
      <w:r>
        <w:tab/>
      </w:r>
      <w:r>
        <w:fldChar w:fldCharType="begin"/>
      </w:r>
      <w:r>
        <w:instrText xml:space="preserve"> PAGEREF _Toc209536355 \h </w:instrText>
      </w:r>
      <w:r>
        <w:fldChar w:fldCharType="separate"/>
      </w:r>
      <w:r>
        <w:t>3</w:t>
      </w:r>
      <w:r>
        <w:fldChar w:fldCharType="end"/>
      </w:r>
      <w:r>
        <w:fldChar w:fldCharType="end"/>
      </w:r>
    </w:p>
    <w:p w14:paraId="4828A164">
      <w:pPr>
        <w:pStyle w:val="24"/>
        <w:rPr>
          <w:rFonts w:asciiTheme="minorHAnsi" w:hAnsiTheme="minorHAnsi" w:eastAsiaTheme="minorEastAsia" w:cstheme="minorBidi"/>
          <w:szCs w:val="22"/>
        </w:rPr>
      </w:pPr>
      <w:r>
        <w:fldChar w:fldCharType="begin"/>
      </w:r>
      <w:r>
        <w:instrText xml:space="preserve"> HYPERLINK \l "_Toc209536356" </w:instrText>
      </w:r>
      <w:r>
        <w:fldChar w:fldCharType="separate"/>
      </w:r>
      <w:r>
        <w:rPr>
          <w:rStyle w:val="32"/>
          <w14:scene3d>
            <w14:lightRig w14:rig="threePt" w14:dir="t">
              <w14:rot w14:lat="0" w14:lon="0" w14:rev="0"/>
            </w14:lightRig>
          </w14:scene3d>
        </w:rPr>
        <w:t xml:space="preserve">6.3 </w:t>
      </w:r>
      <w:r>
        <w:rPr>
          <w:rStyle w:val="32"/>
        </w:rPr>
        <w:t xml:space="preserve"> 产品安全</w:t>
      </w:r>
      <w:r>
        <w:tab/>
      </w:r>
      <w:r>
        <w:fldChar w:fldCharType="begin"/>
      </w:r>
      <w:r>
        <w:instrText xml:space="preserve"> PAGEREF _Toc209536356 \h </w:instrText>
      </w:r>
      <w:r>
        <w:fldChar w:fldCharType="separate"/>
      </w:r>
      <w:r>
        <w:t>3</w:t>
      </w:r>
      <w:r>
        <w:fldChar w:fldCharType="end"/>
      </w:r>
      <w:r>
        <w:fldChar w:fldCharType="end"/>
      </w:r>
    </w:p>
    <w:p w14:paraId="1CD864D5">
      <w:pPr>
        <w:pStyle w:val="19"/>
        <w:tabs>
          <w:tab w:val="right" w:leader="dot" w:pos="9344"/>
        </w:tabs>
        <w:rPr>
          <w:rFonts w:asciiTheme="minorHAnsi" w:hAnsiTheme="minorHAnsi" w:eastAsiaTheme="minorEastAsia" w:cstheme="minorBidi"/>
          <w:szCs w:val="22"/>
        </w:rPr>
      </w:pPr>
      <w:r>
        <w:fldChar w:fldCharType="begin"/>
      </w:r>
      <w:r>
        <w:instrText xml:space="preserve"> HYPERLINK \l "_Toc209536357" </w:instrText>
      </w:r>
      <w:r>
        <w:fldChar w:fldCharType="separate"/>
      </w:r>
      <w:r>
        <w:rPr>
          <w:rStyle w:val="32"/>
        </w:rPr>
        <w:t>7  记录与追溯</w:t>
      </w:r>
      <w:r>
        <w:tab/>
      </w:r>
      <w:r>
        <w:fldChar w:fldCharType="begin"/>
      </w:r>
      <w:r>
        <w:instrText xml:space="preserve"> PAGEREF _Toc209536357 \h </w:instrText>
      </w:r>
      <w:r>
        <w:fldChar w:fldCharType="separate"/>
      </w:r>
      <w:r>
        <w:t>3</w:t>
      </w:r>
      <w:r>
        <w:fldChar w:fldCharType="end"/>
      </w:r>
      <w:r>
        <w:fldChar w:fldCharType="end"/>
      </w:r>
    </w:p>
    <w:p w14:paraId="45FC4DAD">
      <w:pPr>
        <w:pStyle w:val="91"/>
        <w:spacing w:after="360"/>
        <w:sectPr>
          <w:headerReference r:id="rId9" w:type="default"/>
          <w:footerReference r:id="rId11" w:type="default"/>
          <w:headerReference r:id="rId10" w:type="even"/>
          <w:pgSz w:w="11906" w:h="16838"/>
          <w:pgMar w:top="1928" w:right="1134" w:bottom="1134" w:left="1134" w:header="1418" w:footer="1134" w:gutter="284"/>
          <w:pgNumType w:fmt="upperRoman" w:start="1"/>
          <w:cols w:space="425" w:num="1"/>
          <w:formProt w:val="0"/>
          <w:docGrid w:linePitch="312" w:charSpace="0"/>
        </w:sectPr>
      </w:pPr>
      <w:r>
        <w:fldChar w:fldCharType="end"/>
      </w:r>
    </w:p>
    <w:bookmarkEnd w:id="21"/>
    <w:p w14:paraId="6E50EB88">
      <w:pPr>
        <w:pStyle w:val="89"/>
        <w:spacing w:before="900" w:after="360"/>
      </w:pPr>
      <w:bookmarkStart w:id="22" w:name="_Toc209536341"/>
      <w:bookmarkStart w:id="23" w:name="BookMark2"/>
      <w:r>
        <w:rPr>
          <w:spacing w:val="320"/>
        </w:rPr>
        <w:t>前</w:t>
      </w:r>
      <w:r>
        <w:t>言</w:t>
      </w:r>
      <w:bookmarkEnd w:id="22"/>
    </w:p>
    <w:p w14:paraId="65F2ECFF">
      <w:pPr>
        <w:pStyle w:val="56"/>
        <w:ind w:firstLine="420"/>
      </w:pPr>
      <w:r>
        <w:rPr>
          <w:rFonts w:hint="eastAsia"/>
        </w:rPr>
        <w:t>本文件参照GB/T 1.1—2020《标准化工作导则  第1部分：标准化文件的结构和起草规则》的规定起草。</w:t>
      </w:r>
    </w:p>
    <w:p w14:paraId="791EC236">
      <w:pPr>
        <w:pStyle w:val="56"/>
        <w:ind w:firstLine="420"/>
      </w:pPr>
      <w:r>
        <w:rPr>
          <w:rFonts w:hint="eastAsia"/>
        </w:rPr>
        <w:t>请注意本文件的某些内容可能涉及专利。本文件的发布机构不承担识别专利的责任。</w:t>
      </w:r>
    </w:p>
    <w:p w14:paraId="1CF145F2">
      <w:pPr>
        <w:pStyle w:val="56"/>
        <w:ind w:firstLine="420"/>
      </w:pPr>
      <w:r>
        <w:rPr>
          <w:rFonts w:hint="eastAsia"/>
        </w:rPr>
        <w:t>本文件由浦北县农业农村局提出、归口和</w:t>
      </w:r>
      <w:r>
        <w:t>宣贯</w:t>
      </w:r>
      <w:r>
        <w:rPr>
          <w:rFonts w:hint="eastAsia"/>
        </w:rPr>
        <w:t>。</w:t>
      </w:r>
    </w:p>
    <w:p w14:paraId="59A89EC3">
      <w:pPr>
        <w:pStyle w:val="56"/>
        <w:ind w:firstLine="420"/>
      </w:pPr>
      <w:r>
        <w:rPr>
          <w:rFonts w:hint="eastAsia"/>
        </w:rPr>
        <w:t>本文件起草单位：浦北县农业农村局、浦北县市场监督管理局、浦北县畜牧站、浦北县动物疫病预防控制中心、浦北县伟超食品有限公司、浦北县广源食品责任有限公司、广西扬丰食品有限公司、广西寿乡海平食品有限公司、浦北县越州黑猪养殖专业合作社、浦北精丰农牧业有限公司。</w:t>
      </w:r>
    </w:p>
    <w:p w14:paraId="563F5F78">
      <w:pPr>
        <w:pStyle w:val="56"/>
        <w:ind w:firstLine="420"/>
        <w:rPr>
          <w:rFonts w:hint="eastAsia" w:ascii="宋体" w:hAnsi="Times New Roman" w:eastAsia="宋体" w:cs="Times New Roman"/>
          <w:lang w:eastAsia="zh-CN"/>
        </w:rPr>
      </w:pPr>
      <w:r>
        <w:rPr>
          <w:rFonts w:hint="eastAsia" w:ascii="宋体" w:hAnsi="Times New Roman" w:eastAsia="宋体" w:cs="Times New Roman"/>
        </w:rPr>
        <w:t>本文件主要起草人：</w:t>
      </w:r>
      <w:r>
        <w:rPr>
          <w:rFonts w:hint="eastAsia" w:ascii="宋体" w:hAnsi="Times New Roman" w:eastAsia="宋体" w:cs="Times New Roman"/>
          <w:lang w:val="en-US" w:eastAsia="zh-CN"/>
        </w:rPr>
        <w:t>宋云鹤、</w:t>
      </w:r>
      <w:r>
        <w:rPr>
          <w:rFonts w:hint="eastAsia" w:ascii="宋体" w:hAnsi="Times New Roman" w:eastAsia="宋体" w:cs="Times New Roman"/>
          <w:lang w:eastAsia="zh-CN"/>
        </w:rPr>
        <w:t>刘冬、赵祥秀、韦宇、张仁球、林小莉、梁婷、黄振华、符科宗、黄娟、钟福、邓桂潮、颜传新、</w:t>
      </w:r>
      <w:r>
        <w:rPr>
          <w:rFonts w:hint="eastAsia" w:ascii="宋体" w:hAnsi="Times New Roman" w:eastAsia="宋体" w:cs="Times New Roman"/>
        </w:rPr>
        <w:t>杨眉</w:t>
      </w:r>
      <w:r>
        <w:rPr>
          <w:rFonts w:hint="eastAsia" w:ascii="宋体" w:hAnsi="Times New Roman" w:eastAsia="宋体" w:cs="Times New Roman"/>
          <w:lang w:eastAsia="zh-CN"/>
        </w:rPr>
        <w:t>、钟英波、黄敬权、</w:t>
      </w:r>
      <w:r>
        <w:rPr>
          <w:rFonts w:hint="eastAsia" w:ascii="宋体" w:hAnsi="Times New Roman" w:eastAsia="宋体" w:cs="Times New Roman"/>
          <w:lang w:val="en-US" w:eastAsia="zh-CN"/>
        </w:rPr>
        <w:t>张真建、庞巍、覃春丽、</w:t>
      </w:r>
      <w:r>
        <w:rPr>
          <w:rFonts w:hint="eastAsia" w:ascii="宋体" w:hAnsi="Times New Roman" w:eastAsia="宋体" w:cs="Times New Roman"/>
        </w:rPr>
        <w:t>黄建勋</w:t>
      </w:r>
      <w:r>
        <w:rPr>
          <w:rFonts w:hint="eastAsia" w:ascii="宋体" w:hAnsi="Times New Roman" w:eastAsia="宋体" w:cs="Times New Roman"/>
          <w:lang w:eastAsia="zh-CN"/>
        </w:rPr>
        <w:t>、庞衍锋、谢廷伟、颜滨。</w:t>
      </w:r>
    </w:p>
    <w:p w14:paraId="0982F7CD">
      <w:pPr>
        <w:pStyle w:val="56"/>
        <w:ind w:firstLine="420"/>
      </w:pPr>
    </w:p>
    <w:p w14:paraId="39AC892A">
      <w:pPr>
        <w:pStyle w:val="56"/>
        <w:ind w:firstLine="420"/>
        <w:sectPr>
          <w:pgSz w:w="11906" w:h="16838"/>
          <w:pgMar w:top="1928" w:right="1134" w:bottom="1134" w:left="1134" w:header="1418" w:footer="1134" w:gutter="284"/>
          <w:pgNumType w:fmt="upperRoman"/>
          <w:cols w:space="425" w:num="1"/>
          <w:formProt w:val="0"/>
          <w:docGrid w:linePitch="312" w:charSpace="0"/>
        </w:sectPr>
      </w:pPr>
    </w:p>
    <w:bookmarkEnd w:id="23"/>
    <w:p w14:paraId="75203AFE">
      <w:pPr>
        <w:spacing w:line="20" w:lineRule="exact"/>
        <w:jc w:val="center"/>
        <w:rPr>
          <w:rFonts w:ascii="黑体" w:hAnsi="黑体" w:eastAsia="黑体"/>
          <w:sz w:val="32"/>
          <w:szCs w:val="32"/>
        </w:rPr>
      </w:pPr>
      <w:bookmarkStart w:id="24" w:name="BookMark4"/>
    </w:p>
    <w:p w14:paraId="5807CC55">
      <w:pPr>
        <w:spacing w:line="20" w:lineRule="exact"/>
        <w:jc w:val="center"/>
        <w:rPr>
          <w:rFonts w:ascii="黑体" w:hAnsi="黑体" w:eastAsia="黑体"/>
          <w:sz w:val="32"/>
          <w:szCs w:val="32"/>
        </w:rPr>
      </w:pPr>
    </w:p>
    <w:sdt>
      <w:sdtPr>
        <w:tag w:val="NEW_STAND_NAME"/>
        <w:id w:val="595910757"/>
        <w:lock w:val="sdtLocked"/>
        <w:placeholder>
          <w:docPart w:val="96745F35693143459E8216A74703ADA2"/>
        </w:placeholder>
      </w:sdtPr>
      <w:sdtContent>
        <w:p w14:paraId="79F73261">
          <w:pPr>
            <w:pStyle w:val="177"/>
            <w:spacing w:before="2" w:beforeLines="1" w:after="528" w:afterLines="220"/>
          </w:pPr>
          <w:bookmarkStart w:id="25" w:name="NEW_STAND_NAME"/>
          <w:r>
            <w:rPr>
              <w:rFonts w:hint="eastAsia"/>
            </w:rPr>
            <w:t xml:space="preserve">地理标志农产品 </w:t>
          </w:r>
          <w:r>
            <w:t xml:space="preserve"> </w:t>
          </w:r>
          <w:r>
            <w:rPr>
              <w:rFonts w:hint="eastAsia"/>
            </w:rPr>
            <w:t>浦北黑猪加工产品仓储管理规范</w:t>
          </w:r>
        </w:p>
      </w:sdtContent>
    </w:sdt>
    <w:bookmarkEnd w:id="25"/>
    <w:p w14:paraId="7CE248C8">
      <w:pPr>
        <w:pStyle w:val="104"/>
        <w:spacing w:before="240" w:after="240"/>
      </w:pPr>
      <w:bookmarkStart w:id="26" w:name="_Toc26718930"/>
      <w:bookmarkStart w:id="27" w:name="_Toc209536342"/>
      <w:bookmarkStart w:id="28" w:name="_Toc24884211"/>
      <w:bookmarkStart w:id="29" w:name="_Toc24884218"/>
      <w:bookmarkStart w:id="30" w:name="_Toc97192964"/>
      <w:bookmarkStart w:id="31" w:name="_Toc26986530"/>
      <w:bookmarkStart w:id="32" w:name="_Toc17233325"/>
      <w:bookmarkStart w:id="33" w:name="_Toc26648465"/>
      <w:bookmarkStart w:id="34" w:name="_Toc26986771"/>
      <w:bookmarkStart w:id="35" w:name="_Toc17233333"/>
      <w:bookmarkStart w:id="36" w:name="OLE_LINK28"/>
      <w:r>
        <w:rPr>
          <w:rFonts w:hint="eastAsia"/>
        </w:rPr>
        <w:t>范围</w:t>
      </w:r>
      <w:bookmarkEnd w:id="26"/>
      <w:bookmarkEnd w:id="27"/>
      <w:bookmarkEnd w:id="28"/>
      <w:bookmarkEnd w:id="29"/>
      <w:bookmarkEnd w:id="30"/>
      <w:bookmarkEnd w:id="31"/>
      <w:bookmarkEnd w:id="32"/>
      <w:bookmarkEnd w:id="33"/>
      <w:bookmarkEnd w:id="34"/>
      <w:bookmarkEnd w:id="35"/>
    </w:p>
    <w:p w14:paraId="1AA4E68B">
      <w:pPr>
        <w:pStyle w:val="56"/>
        <w:ind w:firstLine="420"/>
      </w:pPr>
      <w:bookmarkStart w:id="37" w:name="_Toc17233334"/>
      <w:bookmarkStart w:id="38" w:name="_Toc24884212"/>
      <w:bookmarkStart w:id="39" w:name="_Toc17233326"/>
      <w:bookmarkStart w:id="40" w:name="_Toc26648466"/>
      <w:bookmarkStart w:id="41" w:name="_Toc24884219"/>
      <w:r>
        <w:rPr>
          <w:rFonts w:hint="eastAsia"/>
        </w:rPr>
        <w:t>本文件界定了浦北黑猪加工产品的术语和定义，规定了地理标志农产品浦北黑猪加工产品的基本要求、产品仓储、仓储安全、记录与追溯的要求。</w:t>
      </w:r>
    </w:p>
    <w:p w14:paraId="4B05ECDC">
      <w:pPr>
        <w:pStyle w:val="56"/>
        <w:ind w:firstLine="420"/>
      </w:pPr>
      <w:r>
        <w:rPr>
          <w:rFonts w:hint="eastAsia"/>
        </w:rPr>
        <w:t>本文件适用于地理标志农产品</w:t>
      </w:r>
      <w:bookmarkStart w:id="42" w:name="OLE_LINK30"/>
      <w:bookmarkStart w:id="43" w:name="OLE_LINK31"/>
      <w:r>
        <w:rPr>
          <w:rFonts w:hint="eastAsia"/>
        </w:rPr>
        <w:t>浦北黑猪加工产品</w:t>
      </w:r>
      <w:bookmarkEnd w:id="42"/>
      <w:bookmarkEnd w:id="43"/>
      <w:r>
        <w:rPr>
          <w:rFonts w:hint="eastAsia"/>
        </w:rPr>
        <w:t>的仓储管理。</w:t>
      </w:r>
    </w:p>
    <w:p w14:paraId="79B8B260">
      <w:pPr>
        <w:pStyle w:val="104"/>
        <w:spacing w:before="240" w:after="240"/>
      </w:pPr>
      <w:bookmarkStart w:id="44" w:name="_Toc26986772"/>
      <w:bookmarkStart w:id="45" w:name="_Toc26986531"/>
      <w:bookmarkStart w:id="46" w:name="_Toc209536343"/>
      <w:bookmarkStart w:id="47" w:name="_Toc97192965"/>
      <w:bookmarkStart w:id="48" w:name="_Toc26718931"/>
      <w:r>
        <w:rPr>
          <w:rFonts w:hint="eastAsia"/>
        </w:rPr>
        <w:t>规范性引用文件</w:t>
      </w:r>
      <w:bookmarkEnd w:id="37"/>
      <w:bookmarkEnd w:id="38"/>
      <w:bookmarkEnd w:id="39"/>
      <w:bookmarkEnd w:id="40"/>
      <w:bookmarkEnd w:id="41"/>
      <w:bookmarkEnd w:id="44"/>
      <w:bookmarkEnd w:id="45"/>
      <w:bookmarkEnd w:id="46"/>
      <w:bookmarkEnd w:id="47"/>
      <w:bookmarkEnd w:id="48"/>
    </w:p>
    <w:sdt>
      <w:sdtPr>
        <w:rPr>
          <w:rFonts w:hint="eastAsia"/>
        </w:rPr>
        <w:id w:val="715848253"/>
        <w:placeholder>
          <w:docPart w:val="560D472249A84AE5803AB3EF1F849BCF"/>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5A0B5279">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3AC5B79">
      <w:pPr>
        <w:pStyle w:val="56"/>
        <w:ind w:firstLine="420"/>
      </w:pPr>
      <w:r>
        <w:rPr>
          <w:rFonts w:hint="eastAsia"/>
        </w:rPr>
        <w:t>GB 12694  食品安全国家标准  畜禽屠宰加工卫生规范</w:t>
      </w:r>
    </w:p>
    <w:p w14:paraId="063B263F">
      <w:pPr>
        <w:pStyle w:val="56"/>
        <w:ind w:firstLine="420"/>
      </w:pPr>
      <w:r>
        <w:rPr>
          <w:rFonts w:hint="eastAsia"/>
        </w:rPr>
        <w:t xml:space="preserve">GB/T 14440 </w:t>
      </w:r>
      <w:r>
        <w:t xml:space="preserve"> </w:t>
      </w:r>
      <w:r>
        <w:rPr>
          <w:rFonts w:hint="eastAsia"/>
        </w:rPr>
        <w:t>低温作业分级</w:t>
      </w:r>
    </w:p>
    <w:p w14:paraId="3D434D8F">
      <w:pPr>
        <w:pStyle w:val="56"/>
        <w:ind w:firstLine="420"/>
      </w:pPr>
      <w:r>
        <w:t>G</w:t>
      </w:r>
      <w:r>
        <w:rPr>
          <w:rFonts w:hint="eastAsia"/>
        </w:rPr>
        <w:t xml:space="preserve">B/T 24616 </w:t>
      </w:r>
      <w:r>
        <w:t xml:space="preserve"> </w:t>
      </w:r>
      <w:r>
        <w:rPr>
          <w:rFonts w:hint="eastAsia"/>
        </w:rPr>
        <w:t>冷藏、冷冻食品物流包装、标志、运输和储存</w:t>
      </w:r>
    </w:p>
    <w:p w14:paraId="13F45FDD">
      <w:pPr>
        <w:pStyle w:val="56"/>
        <w:ind w:firstLine="420"/>
      </w:pPr>
      <w:r>
        <w:t>G</w:t>
      </w:r>
      <w:r>
        <w:rPr>
          <w:rFonts w:hint="eastAsia"/>
        </w:rPr>
        <w:t>B/T 28009</w:t>
      </w:r>
      <w:r>
        <w:t xml:space="preserve"> </w:t>
      </w:r>
      <w:r>
        <w:rPr>
          <w:rFonts w:hint="eastAsia"/>
        </w:rPr>
        <w:t xml:space="preserve"> 冷库安全规程</w:t>
      </w:r>
    </w:p>
    <w:p w14:paraId="65419766">
      <w:pPr>
        <w:pStyle w:val="56"/>
        <w:ind w:firstLine="420"/>
      </w:pPr>
      <w:r>
        <w:rPr>
          <w:rFonts w:hint="eastAsia"/>
        </w:rPr>
        <w:t xml:space="preserve">GB/T 30134 </w:t>
      </w:r>
      <w:r>
        <w:t xml:space="preserve"> </w:t>
      </w:r>
      <w:r>
        <w:rPr>
          <w:rFonts w:hint="eastAsia"/>
        </w:rPr>
        <w:t>冷库管理规范</w:t>
      </w:r>
    </w:p>
    <w:p w14:paraId="480FA900">
      <w:pPr>
        <w:pStyle w:val="56"/>
        <w:ind w:firstLine="420"/>
      </w:pPr>
      <w:r>
        <w:rPr>
          <w:rFonts w:hint="eastAsia"/>
        </w:rPr>
        <w:t>GB/T 40465</w:t>
      </w:r>
      <w:r>
        <w:t xml:space="preserve">  </w:t>
      </w:r>
      <w:r>
        <w:rPr>
          <w:rFonts w:hint="eastAsia"/>
        </w:rPr>
        <w:t>畜禽肉追溯要求</w:t>
      </w:r>
    </w:p>
    <w:p w14:paraId="58171BA4">
      <w:pPr>
        <w:pStyle w:val="104"/>
        <w:spacing w:before="240" w:after="240"/>
      </w:pPr>
      <w:bookmarkStart w:id="49" w:name="_Toc97192966"/>
      <w:bookmarkStart w:id="50" w:name="_Toc209536344"/>
      <w:r>
        <w:rPr>
          <w:rFonts w:hint="eastAsia"/>
          <w:szCs w:val="21"/>
        </w:rPr>
        <w:t>术语和定义</w:t>
      </w:r>
      <w:bookmarkEnd w:id="49"/>
      <w:bookmarkEnd w:id="50"/>
    </w:p>
    <w:sdt>
      <w:sdtPr>
        <w:id w:val="-1909835108"/>
        <w:placeholder>
          <w:docPart w:val="31B9BD1B59A74957BF4F4F2B0F09D18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2DC580A3">
          <w:pPr>
            <w:pStyle w:val="56"/>
            <w:ind w:firstLine="420"/>
          </w:pPr>
          <w:bookmarkStart w:id="51" w:name="_Toc26986532"/>
          <w:bookmarkEnd w:id="51"/>
          <w:r>
            <w:t>本文件没有需要界定的术语和定义。</w:t>
          </w:r>
        </w:p>
      </w:sdtContent>
    </w:sdt>
    <w:p w14:paraId="4D9768E2">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浦北黑猪加工产品  processed products of Pubei Black Pig</w:t>
      </w:r>
    </w:p>
    <w:p w14:paraId="39807644">
      <w:pPr>
        <w:pStyle w:val="56"/>
        <w:ind w:firstLine="420"/>
      </w:pPr>
      <w:r>
        <w:rPr>
          <w:rFonts w:hint="eastAsia"/>
        </w:rPr>
        <w:t>以取得地理标志产品保护的浦北黑猪为原料，经分割、冷却（冷鲜分割肉），或腌制、晾晒、烘烤（腊味制品），或酱卤、杀菌</w:t>
      </w:r>
      <w:bookmarkEnd w:id="36"/>
      <w:r>
        <w:rPr>
          <w:rFonts w:hint="eastAsia"/>
        </w:rPr>
        <w:t>（卤味制品）等工艺加工而成的产品。</w:t>
      </w:r>
    </w:p>
    <w:p w14:paraId="4A7D2F69">
      <w:pPr>
        <w:pStyle w:val="104"/>
        <w:spacing w:before="240" w:after="240"/>
      </w:pPr>
      <w:bookmarkStart w:id="52" w:name="_Toc209536345"/>
      <w:r>
        <w:rPr>
          <w:rFonts w:hint="eastAsia"/>
        </w:rPr>
        <w:t>基本要求</w:t>
      </w:r>
      <w:bookmarkEnd w:id="52"/>
    </w:p>
    <w:p w14:paraId="7B0121B8">
      <w:pPr>
        <w:pStyle w:val="105"/>
        <w:spacing w:before="120" w:after="120"/>
      </w:pPr>
      <w:bookmarkStart w:id="53" w:name="_Toc209536346"/>
      <w:r>
        <w:rPr>
          <w:rFonts w:hint="eastAsia"/>
        </w:rPr>
        <w:t>人员要求</w:t>
      </w:r>
      <w:bookmarkEnd w:id="53"/>
    </w:p>
    <w:p w14:paraId="28C1AD3B">
      <w:pPr>
        <w:pStyle w:val="165"/>
      </w:pPr>
      <w:r>
        <w:rPr>
          <w:rFonts w:hint="eastAsia"/>
        </w:rPr>
        <w:t>仓储管理人员应经过岗前培训，掌握产品特性、储存条件、应急处理等知识。</w:t>
      </w:r>
    </w:p>
    <w:p w14:paraId="66DA8551">
      <w:pPr>
        <w:pStyle w:val="165"/>
      </w:pPr>
      <w:r>
        <w:rPr>
          <w:rFonts w:hint="eastAsia"/>
        </w:rPr>
        <w:t>直接接触产品的人员应持有有效的健康证明，并遵守个人卫生规定。</w:t>
      </w:r>
    </w:p>
    <w:p w14:paraId="1B08CAEE">
      <w:pPr>
        <w:pStyle w:val="165"/>
      </w:pPr>
      <w:r>
        <w:rPr>
          <w:rFonts w:hint="eastAsia"/>
        </w:rPr>
        <w:t>仓储人员上岗前应穿戴防护服，冷链加工人员应穿戴一次性防护手套，防护服应干净整洁。</w:t>
      </w:r>
    </w:p>
    <w:p w14:paraId="4976EA22">
      <w:pPr>
        <w:pStyle w:val="105"/>
        <w:spacing w:before="120" w:after="120"/>
      </w:pPr>
      <w:bookmarkStart w:id="54" w:name="_Toc209536347"/>
      <w:r>
        <w:rPr>
          <w:rFonts w:hint="eastAsia"/>
        </w:rPr>
        <w:t>管理要求</w:t>
      </w:r>
      <w:bookmarkEnd w:id="54"/>
    </w:p>
    <w:p w14:paraId="24ABAC99">
      <w:pPr>
        <w:pStyle w:val="165"/>
      </w:pPr>
      <w:bookmarkStart w:id="55" w:name="OLE_LINK1"/>
      <w:r>
        <w:rPr>
          <w:rFonts w:hint="eastAsia"/>
        </w:rPr>
        <w:t>浦北黑猪加工产品</w:t>
      </w:r>
      <w:bookmarkEnd w:id="55"/>
      <w:r>
        <w:rPr>
          <w:rFonts w:hint="eastAsia"/>
        </w:rPr>
        <w:t>的仓储卫生要求应按照</w:t>
      </w:r>
      <w:r>
        <w:t>G</w:t>
      </w:r>
      <w:r>
        <w:rPr>
          <w:rFonts w:hint="eastAsia"/>
        </w:rPr>
        <w:t>B 12694的规定执行。</w:t>
      </w:r>
    </w:p>
    <w:p w14:paraId="15B3EFB4">
      <w:pPr>
        <w:pStyle w:val="165"/>
      </w:pPr>
      <w:r>
        <w:rPr>
          <w:rFonts w:hint="eastAsia"/>
        </w:rPr>
        <w:t>应建立从产品入库、在库保管到出库的全过程质量管理体系，鼓励采用信息化管理系统对库存、温湿度等进行智能化管理。</w:t>
      </w:r>
    </w:p>
    <w:p w14:paraId="20107DF7">
      <w:pPr>
        <w:pStyle w:val="165"/>
      </w:pPr>
      <w:r>
        <w:rPr>
          <w:rFonts w:hint="eastAsia"/>
        </w:rPr>
        <w:t>应建立浦北黑猪加工产品冷链仓储温度测量与监控制度。对产品仓储过程的温度变化进行测量和控制，并保留库房温湿度的记录。</w:t>
      </w:r>
    </w:p>
    <w:p w14:paraId="638A5271">
      <w:pPr>
        <w:pStyle w:val="165"/>
      </w:pPr>
      <w:r>
        <w:rPr>
          <w:rFonts w:hint="eastAsia"/>
        </w:rPr>
        <w:t>应建立产品安全防护制度，对温度控制、清洁卫生、食品安全管理等进行防护。</w:t>
      </w:r>
    </w:p>
    <w:p w14:paraId="1B56DFE8">
      <w:pPr>
        <w:pStyle w:val="165"/>
      </w:pPr>
      <w:r>
        <w:rPr>
          <w:rFonts w:hint="eastAsia"/>
        </w:rPr>
        <w:t>冷链运输车辆箱体温度测量与监测制度，并保留温湿度记录。</w:t>
      </w:r>
    </w:p>
    <w:p w14:paraId="0C0FF111">
      <w:pPr>
        <w:pStyle w:val="105"/>
        <w:spacing w:before="120" w:after="120"/>
      </w:pPr>
      <w:bookmarkStart w:id="56" w:name="_Toc209536348"/>
      <w:r>
        <w:rPr>
          <w:rFonts w:hint="eastAsia"/>
        </w:rPr>
        <w:t>设施与设备</w:t>
      </w:r>
      <w:bookmarkEnd w:id="56"/>
    </w:p>
    <w:p w14:paraId="48A4C56F">
      <w:pPr>
        <w:pStyle w:val="165"/>
      </w:pPr>
      <w:r>
        <w:rPr>
          <w:rFonts w:hint="eastAsia"/>
        </w:rPr>
        <w:t>仓库应设置清晰的待检区、合格品区、不合格品区、退货区，不同类别产品应分区域存放。</w:t>
      </w:r>
    </w:p>
    <w:p w14:paraId="5E07D318">
      <w:pPr>
        <w:pStyle w:val="165"/>
      </w:pPr>
      <w:r>
        <w:rPr>
          <w:rFonts w:hint="eastAsia"/>
        </w:rPr>
        <w:t>应根据产品特性配置相应温区的库房（如冷藏库、冷冻库、常温库），并配备可靠的温湿度自动监控、记录和报警系统。库房温度应定期检查并记录。仓储冷库管理应符合</w:t>
      </w:r>
      <w:r>
        <w:t>G</w:t>
      </w:r>
      <w:r>
        <w:rPr>
          <w:rFonts w:hint="eastAsia"/>
        </w:rPr>
        <w:t>B/T 30134的规定。</w:t>
      </w:r>
    </w:p>
    <w:p w14:paraId="56A5A732">
      <w:pPr>
        <w:pStyle w:val="165"/>
      </w:pPr>
      <w:r>
        <w:rPr>
          <w:rFonts w:hint="eastAsia"/>
        </w:rPr>
        <w:t>库房应具备良好的通风、防潮、防鼠、防虫、防尘设施。应配备必要的消防和安全防护设备。</w:t>
      </w:r>
    </w:p>
    <w:p w14:paraId="198CC36E">
      <w:pPr>
        <w:pStyle w:val="104"/>
        <w:spacing w:before="240" w:after="240"/>
      </w:pPr>
      <w:bookmarkStart w:id="57" w:name="_Toc209536349"/>
      <w:r>
        <w:rPr>
          <w:rFonts w:hint="eastAsia"/>
        </w:rPr>
        <w:t>产品仓储</w:t>
      </w:r>
      <w:bookmarkEnd w:id="57"/>
    </w:p>
    <w:p w14:paraId="11F8BABB">
      <w:pPr>
        <w:pStyle w:val="105"/>
        <w:spacing w:before="120" w:after="120"/>
      </w:pPr>
      <w:bookmarkStart w:id="58" w:name="_Toc209536350"/>
      <w:bookmarkStart w:id="59" w:name="OLE_LINK4"/>
      <w:bookmarkStart w:id="60" w:name="OLE_LINK5"/>
      <w:r>
        <w:rPr>
          <w:rFonts w:hint="eastAsia"/>
        </w:rPr>
        <w:t>验收入库</w:t>
      </w:r>
      <w:bookmarkEnd w:id="58"/>
    </w:p>
    <w:bookmarkEnd w:id="59"/>
    <w:bookmarkEnd w:id="60"/>
    <w:p w14:paraId="66EE683E">
      <w:pPr>
        <w:pStyle w:val="165"/>
      </w:pPr>
      <w:r>
        <w:rPr>
          <w:rFonts w:hint="eastAsia"/>
        </w:rPr>
        <w:t>冷库接收运输转运的畜禽屠宰加工后获得的胴体、分割产品和食用副产品。应按照如下要求：</w:t>
      </w:r>
    </w:p>
    <w:p w14:paraId="34DAE952">
      <w:pPr>
        <w:pStyle w:val="174"/>
      </w:pPr>
      <w:r>
        <w:rPr>
          <w:rFonts w:hint="eastAsia"/>
        </w:rPr>
        <w:t>收货应在合同要求的温度下进行，无明确规定的应在收货平台或冷藏库完成；</w:t>
      </w:r>
    </w:p>
    <w:p w14:paraId="5B51A400">
      <w:pPr>
        <w:pStyle w:val="174"/>
      </w:pPr>
      <w:r>
        <w:rPr>
          <w:rFonts w:hint="eastAsia"/>
        </w:rPr>
        <w:t>收货前，应检查并记录运输车辆箱体内的环境温度和运输过程中的温度记录是否符合要求，确认随附单证是否一致齐全、符合要求,査货物包装是否完整、物品中心温度是否符合相关规定；</w:t>
      </w:r>
    </w:p>
    <w:p w14:paraId="2AFE97D6">
      <w:pPr>
        <w:pStyle w:val="174"/>
      </w:pPr>
      <w:r>
        <w:rPr>
          <w:rFonts w:hint="eastAsia"/>
        </w:rPr>
        <w:t>收货中产品温度异常不符合要求的，应立即将货物转入温度达标的冷藏库、冷库存放，待双方确认质量后办理入库手续；</w:t>
      </w:r>
    </w:p>
    <w:p w14:paraId="33DBE3AD">
      <w:pPr>
        <w:pStyle w:val="174"/>
      </w:pPr>
      <w:r>
        <w:rPr>
          <w:rFonts w:hint="eastAsia"/>
        </w:rPr>
        <w:t>收货后，应立即放置于冷库的待验区进行到货包装的验收检查。并保留验收记录，记录至少包括产品名称，批号，数量，对应的温度记录仪编号、收货时间，进入冷库的时间、司乘人员等信息。</w:t>
      </w:r>
    </w:p>
    <w:p w14:paraId="4DEAC483">
      <w:pPr>
        <w:pStyle w:val="165"/>
      </w:pPr>
      <w:r>
        <w:rPr>
          <w:rFonts w:hint="eastAsia"/>
        </w:rPr>
        <w:t>入库贮藏的</w:t>
      </w:r>
      <w:bookmarkStart w:id="61" w:name="OLE_LINK11"/>
      <w:r>
        <w:rPr>
          <w:rFonts w:hint="eastAsia"/>
        </w:rPr>
        <w:t>冷藏浦北黑猪</w:t>
      </w:r>
      <w:bookmarkEnd w:id="61"/>
      <w:r>
        <w:rPr>
          <w:rFonts w:hint="eastAsia"/>
        </w:rPr>
        <w:t>加工类产品、冷冻浦北黑猪加工类产品贮藏作业应按GB/T 24616规定执行。并依据进货信息和随货清单做好记录。</w:t>
      </w:r>
    </w:p>
    <w:p w14:paraId="17F0B1D8">
      <w:pPr>
        <w:pStyle w:val="165"/>
      </w:pPr>
      <w:r>
        <w:rPr>
          <w:rFonts w:hint="eastAsia"/>
        </w:rPr>
        <w:t>所有产品入库前，应查验随货凭证，包括但不限于生产许可证、产品合格证明、出厂检验报告等，确保来源合法、可追溯。同时进行外观验收，检查包装是否完整、有无破损、漏气、霉变、异味等异常情况。浦北黑猪加工产品入库查验重点与储存条件指标见</w:t>
      </w:r>
      <w:r>
        <w:t>表</w:t>
      </w:r>
      <w:r>
        <w:rPr>
          <w:rFonts w:hint="eastAsia"/>
        </w:rPr>
        <w:t>1。</w:t>
      </w:r>
    </w:p>
    <w:p w14:paraId="3B26F45F">
      <w:pPr>
        <w:pStyle w:val="112"/>
        <w:spacing w:before="120" w:after="120"/>
      </w:pPr>
      <w:r>
        <w:rPr>
          <w:rFonts w:hint="eastAsia"/>
        </w:rPr>
        <w:t>浦北黑猪加工产品入库查验与储存条件指标</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124"/>
        <w:gridCol w:w="1701"/>
        <w:gridCol w:w="1985"/>
        <w:gridCol w:w="1417"/>
        <w:gridCol w:w="1276"/>
        <w:gridCol w:w="1831"/>
      </w:tblGrid>
      <w:tr w14:paraId="2BB48D1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124" w:type="dxa"/>
            <w:tcBorders>
              <w:top w:val="single" w:color="auto" w:sz="8" w:space="0"/>
              <w:bottom w:val="single" w:color="auto" w:sz="8" w:space="0"/>
            </w:tcBorders>
            <w:shd w:val="clear" w:color="auto" w:fill="auto"/>
            <w:vAlign w:val="center"/>
          </w:tcPr>
          <w:p w14:paraId="60496974">
            <w:pPr>
              <w:pStyle w:val="178"/>
            </w:pPr>
            <w:r>
              <w:rPr>
                <w:rFonts w:hint="eastAsia"/>
              </w:rPr>
              <w:t>产品类别</w:t>
            </w:r>
          </w:p>
        </w:tc>
        <w:tc>
          <w:tcPr>
            <w:tcW w:w="1701" w:type="dxa"/>
            <w:tcBorders>
              <w:top w:val="single" w:color="auto" w:sz="8" w:space="0"/>
              <w:bottom w:val="single" w:color="auto" w:sz="8" w:space="0"/>
            </w:tcBorders>
            <w:shd w:val="clear" w:color="auto" w:fill="auto"/>
            <w:vAlign w:val="center"/>
          </w:tcPr>
          <w:p w14:paraId="34966823">
            <w:pPr>
              <w:pStyle w:val="178"/>
            </w:pPr>
            <w:r>
              <w:rPr>
                <w:rFonts w:hint="eastAsia"/>
              </w:rPr>
              <w:t>具体品类举例</w:t>
            </w:r>
          </w:p>
        </w:tc>
        <w:tc>
          <w:tcPr>
            <w:tcW w:w="1985" w:type="dxa"/>
            <w:tcBorders>
              <w:top w:val="single" w:color="auto" w:sz="8" w:space="0"/>
              <w:bottom w:val="single" w:color="auto" w:sz="8" w:space="0"/>
            </w:tcBorders>
            <w:shd w:val="clear" w:color="auto" w:fill="auto"/>
            <w:vAlign w:val="center"/>
          </w:tcPr>
          <w:p w14:paraId="137945E8">
            <w:pPr>
              <w:pStyle w:val="178"/>
            </w:pPr>
            <w:r>
              <w:rPr>
                <w:rFonts w:hint="eastAsia"/>
              </w:rPr>
              <w:t>入库重点查验</w:t>
            </w:r>
          </w:p>
        </w:tc>
        <w:tc>
          <w:tcPr>
            <w:tcW w:w="1417" w:type="dxa"/>
            <w:tcBorders>
              <w:top w:val="single" w:color="auto" w:sz="8" w:space="0"/>
              <w:bottom w:val="single" w:color="auto" w:sz="8" w:space="0"/>
            </w:tcBorders>
            <w:shd w:val="clear" w:color="auto" w:fill="auto"/>
            <w:vAlign w:val="center"/>
          </w:tcPr>
          <w:p w14:paraId="660A5D58">
            <w:pPr>
              <w:pStyle w:val="178"/>
            </w:pPr>
            <w:r>
              <w:rPr>
                <w:rFonts w:hint="eastAsia"/>
              </w:rPr>
              <w:t>储存温度</w:t>
            </w:r>
          </w:p>
        </w:tc>
        <w:tc>
          <w:tcPr>
            <w:tcW w:w="1276" w:type="dxa"/>
            <w:tcBorders>
              <w:top w:val="single" w:color="auto" w:sz="8" w:space="0"/>
              <w:bottom w:val="single" w:color="auto" w:sz="8" w:space="0"/>
            </w:tcBorders>
            <w:shd w:val="clear" w:color="auto" w:fill="auto"/>
            <w:vAlign w:val="center"/>
          </w:tcPr>
          <w:p w14:paraId="3CAFEC92">
            <w:pPr>
              <w:pStyle w:val="178"/>
            </w:pPr>
            <w:r>
              <w:rPr>
                <w:rFonts w:hint="eastAsia"/>
              </w:rPr>
              <w:t>储存湿度</w:t>
            </w:r>
          </w:p>
        </w:tc>
        <w:tc>
          <w:tcPr>
            <w:tcW w:w="1831" w:type="dxa"/>
            <w:tcBorders>
              <w:top w:val="single" w:color="auto" w:sz="8" w:space="0"/>
              <w:bottom w:val="single" w:color="auto" w:sz="8" w:space="0"/>
            </w:tcBorders>
            <w:shd w:val="clear" w:color="auto" w:fill="auto"/>
            <w:vAlign w:val="center"/>
          </w:tcPr>
          <w:p w14:paraId="523D429A">
            <w:pPr>
              <w:pStyle w:val="178"/>
            </w:pPr>
            <w:r>
              <w:rPr>
                <w:rFonts w:hint="eastAsia"/>
              </w:rPr>
              <w:t>堆码要求</w:t>
            </w:r>
          </w:p>
        </w:tc>
      </w:tr>
      <w:tr w14:paraId="658C25F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tcBorders>
              <w:top w:val="single" w:color="auto" w:sz="8" w:space="0"/>
            </w:tcBorders>
            <w:shd w:val="clear" w:color="auto" w:fill="auto"/>
            <w:vAlign w:val="center"/>
          </w:tcPr>
          <w:p w14:paraId="2CEB5E92">
            <w:pPr>
              <w:pStyle w:val="178"/>
            </w:pPr>
            <w:r>
              <w:rPr>
                <w:rFonts w:hint="eastAsia"/>
              </w:rPr>
              <w:t>冷鲜分割肉</w:t>
            </w:r>
          </w:p>
        </w:tc>
        <w:tc>
          <w:tcPr>
            <w:tcW w:w="1701" w:type="dxa"/>
            <w:tcBorders>
              <w:top w:val="single" w:color="auto" w:sz="8" w:space="0"/>
            </w:tcBorders>
            <w:shd w:val="clear" w:color="auto" w:fill="auto"/>
            <w:vAlign w:val="center"/>
          </w:tcPr>
          <w:p w14:paraId="53D1B1C2">
            <w:pPr>
              <w:pStyle w:val="178"/>
              <w:ind w:firstLine="180" w:firstLineChars="100"/>
              <w:jc w:val="left"/>
            </w:pPr>
            <w:r>
              <w:rPr>
                <w:rFonts w:hint="eastAsia"/>
              </w:rPr>
              <w:t>梅花肉（颈背肌）、五花肉（腹肋肉）、排骨、前腿肉、后腿肉</w:t>
            </w:r>
          </w:p>
        </w:tc>
        <w:tc>
          <w:tcPr>
            <w:tcW w:w="1985" w:type="dxa"/>
            <w:tcBorders>
              <w:top w:val="single" w:color="auto" w:sz="8" w:space="0"/>
            </w:tcBorders>
            <w:shd w:val="clear" w:color="auto" w:fill="auto"/>
            <w:vAlign w:val="center"/>
          </w:tcPr>
          <w:p w14:paraId="7E120BE9">
            <w:pPr>
              <w:pStyle w:val="178"/>
              <w:ind w:firstLine="180" w:firstLineChars="100"/>
              <w:jc w:val="left"/>
            </w:pPr>
            <w:r>
              <w:rPr>
                <w:rFonts w:hint="eastAsia"/>
              </w:rPr>
              <w:t>肉色鲜红有光泽，脂肪洁白，肉质有弹性，包装无血水渗漏</w:t>
            </w:r>
          </w:p>
        </w:tc>
        <w:tc>
          <w:tcPr>
            <w:tcW w:w="1417" w:type="dxa"/>
            <w:tcBorders>
              <w:top w:val="single" w:color="auto" w:sz="8" w:space="0"/>
            </w:tcBorders>
            <w:shd w:val="clear" w:color="auto" w:fill="auto"/>
            <w:vAlign w:val="center"/>
          </w:tcPr>
          <w:p w14:paraId="1AEAE217">
            <w:pPr>
              <w:pStyle w:val="178"/>
            </w:pPr>
            <w:r>
              <w:rPr>
                <w:rFonts w:hint="eastAsia"/>
              </w:rPr>
              <w:t>0℃～4℃</w:t>
            </w:r>
          </w:p>
        </w:tc>
        <w:tc>
          <w:tcPr>
            <w:tcW w:w="1276" w:type="dxa"/>
            <w:tcBorders>
              <w:top w:val="single" w:color="auto" w:sz="8" w:space="0"/>
            </w:tcBorders>
            <w:shd w:val="clear" w:color="auto" w:fill="auto"/>
            <w:vAlign w:val="center"/>
          </w:tcPr>
          <w:p w14:paraId="0BC4A04D">
            <w:pPr>
              <w:pStyle w:val="178"/>
            </w:pPr>
            <w:r>
              <w:t>85％～90％</w:t>
            </w:r>
          </w:p>
        </w:tc>
        <w:tc>
          <w:tcPr>
            <w:tcW w:w="1831" w:type="dxa"/>
            <w:tcBorders>
              <w:top w:val="single" w:color="auto" w:sz="8" w:space="0"/>
            </w:tcBorders>
            <w:shd w:val="clear" w:color="auto" w:fill="auto"/>
            <w:vAlign w:val="center"/>
          </w:tcPr>
          <w:p w14:paraId="4A11EC61">
            <w:pPr>
              <w:pStyle w:val="178"/>
            </w:pPr>
            <w:r>
              <w:rPr>
                <w:rFonts w:hint="eastAsia"/>
              </w:rPr>
              <w:t>离墙≥</w:t>
            </w:r>
            <w:r>
              <w:t>3</w:t>
            </w:r>
            <w:r>
              <w:rPr>
                <w:rFonts w:hint="eastAsia"/>
              </w:rPr>
              <w:t>0cm，离地≥1</w:t>
            </w:r>
            <w:r>
              <w:t>5</w:t>
            </w:r>
            <w:r>
              <w:rPr>
                <w:rFonts w:hint="eastAsia"/>
              </w:rPr>
              <w:t>cm，离顶≥50cm。</w:t>
            </w:r>
            <w:bookmarkStart w:id="62" w:name="OLE_LINK19"/>
            <w:bookmarkStart w:id="63" w:name="OLE_LINK20"/>
            <w:r>
              <w:rPr>
                <w:rFonts w:hint="eastAsia"/>
              </w:rPr>
              <w:t>不同部位分区</w:t>
            </w:r>
            <w:bookmarkStart w:id="64" w:name="OLE_LINK21"/>
            <w:bookmarkStart w:id="65" w:name="OLE_LINK22"/>
            <w:r>
              <w:rPr>
                <w:rFonts w:hint="eastAsia"/>
              </w:rPr>
              <w:t>存放</w:t>
            </w:r>
            <w:bookmarkEnd w:id="62"/>
            <w:bookmarkEnd w:id="63"/>
            <w:bookmarkEnd w:id="64"/>
            <w:bookmarkEnd w:id="65"/>
          </w:p>
        </w:tc>
      </w:tr>
      <w:tr w14:paraId="30EC60D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0F500709">
            <w:pPr>
              <w:pStyle w:val="178"/>
            </w:pPr>
            <w:bookmarkStart w:id="66" w:name="_Hlk212832404"/>
            <w:r>
              <w:rPr>
                <w:rFonts w:hint="eastAsia"/>
              </w:rPr>
              <w:t>腊味制品</w:t>
            </w:r>
          </w:p>
        </w:tc>
        <w:tc>
          <w:tcPr>
            <w:tcW w:w="1701" w:type="dxa"/>
            <w:shd w:val="clear" w:color="auto" w:fill="auto"/>
            <w:vAlign w:val="center"/>
          </w:tcPr>
          <w:p w14:paraId="3C8B7C03">
            <w:pPr>
              <w:pStyle w:val="178"/>
              <w:ind w:firstLine="180" w:firstLineChars="100"/>
              <w:jc w:val="left"/>
            </w:pPr>
            <w:r>
              <w:rPr>
                <w:rFonts w:hint="eastAsia"/>
              </w:rPr>
              <w:t>腊肠、腊肉、腊边腿、腊猪蹄</w:t>
            </w:r>
          </w:p>
        </w:tc>
        <w:tc>
          <w:tcPr>
            <w:tcW w:w="1985" w:type="dxa"/>
            <w:shd w:val="clear" w:color="auto" w:fill="auto"/>
            <w:vAlign w:val="center"/>
          </w:tcPr>
          <w:p w14:paraId="49E56843">
            <w:pPr>
              <w:pStyle w:val="178"/>
              <w:ind w:firstLine="180" w:firstLineChars="100"/>
              <w:jc w:val="left"/>
            </w:pPr>
            <w:r>
              <w:rPr>
                <w:rFonts w:hint="eastAsia"/>
              </w:rPr>
              <w:t>包装完好，无胀袋，具有腊制品特有香味，无哈败味</w:t>
            </w:r>
          </w:p>
        </w:tc>
        <w:tc>
          <w:tcPr>
            <w:tcW w:w="1417" w:type="dxa"/>
            <w:shd w:val="clear" w:color="auto" w:fill="auto"/>
            <w:vAlign w:val="center"/>
          </w:tcPr>
          <w:p w14:paraId="31472F6D">
            <w:pPr>
              <w:pStyle w:val="178"/>
            </w:pPr>
            <w:r>
              <w:rPr>
                <w:rFonts w:hint="eastAsia"/>
              </w:rPr>
              <w:t>≤20℃（避光、通风）</w:t>
            </w:r>
          </w:p>
        </w:tc>
        <w:tc>
          <w:tcPr>
            <w:tcW w:w="1276" w:type="dxa"/>
            <w:shd w:val="clear" w:color="auto" w:fill="auto"/>
            <w:vAlign w:val="center"/>
          </w:tcPr>
          <w:p w14:paraId="1BBACAB0">
            <w:pPr>
              <w:pStyle w:val="178"/>
            </w:pPr>
            <w:bookmarkStart w:id="67" w:name="OLE_LINK10"/>
            <w:r>
              <w:rPr>
                <w:rFonts w:hint="eastAsia"/>
              </w:rPr>
              <w:t>≤65％</w:t>
            </w:r>
            <w:bookmarkEnd w:id="67"/>
          </w:p>
        </w:tc>
        <w:tc>
          <w:tcPr>
            <w:tcW w:w="1831" w:type="dxa"/>
            <w:shd w:val="clear" w:color="auto" w:fill="auto"/>
            <w:vAlign w:val="center"/>
          </w:tcPr>
          <w:p w14:paraId="4085B675">
            <w:pPr>
              <w:pStyle w:val="178"/>
            </w:pPr>
            <w:r>
              <w:rPr>
                <w:rFonts w:hint="eastAsia"/>
              </w:rPr>
              <w:t>离墙≥</w:t>
            </w:r>
            <w:r>
              <w:t>2</w:t>
            </w:r>
            <w:r>
              <w:rPr>
                <w:rFonts w:hint="eastAsia"/>
              </w:rPr>
              <w:t>0cm，离地≥10cm，分类分区存放</w:t>
            </w:r>
          </w:p>
        </w:tc>
      </w:tr>
      <w:bookmarkEnd w:id="66"/>
      <w:tr w14:paraId="736D357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20738252">
            <w:pPr>
              <w:pStyle w:val="178"/>
            </w:pPr>
            <w:r>
              <w:rPr>
                <w:rFonts w:hint="eastAsia"/>
              </w:rPr>
              <w:t>卤味制品</w:t>
            </w:r>
          </w:p>
        </w:tc>
        <w:tc>
          <w:tcPr>
            <w:tcW w:w="1701" w:type="dxa"/>
            <w:shd w:val="clear" w:color="auto" w:fill="auto"/>
            <w:vAlign w:val="center"/>
          </w:tcPr>
          <w:p w14:paraId="1F7FB37C">
            <w:pPr>
              <w:pStyle w:val="178"/>
              <w:ind w:firstLine="180" w:firstLineChars="100"/>
              <w:jc w:val="left"/>
            </w:pPr>
            <w:r>
              <w:rPr>
                <w:rFonts w:hint="eastAsia"/>
              </w:rPr>
              <w:t>卤肉、卤猪蹄、卤猪耳（真空包装）</w:t>
            </w:r>
          </w:p>
        </w:tc>
        <w:tc>
          <w:tcPr>
            <w:tcW w:w="1985" w:type="dxa"/>
            <w:shd w:val="clear" w:color="auto" w:fill="auto"/>
            <w:vAlign w:val="center"/>
          </w:tcPr>
          <w:p w14:paraId="1975C45D">
            <w:pPr>
              <w:pStyle w:val="178"/>
              <w:ind w:firstLine="180" w:firstLineChars="100"/>
              <w:jc w:val="left"/>
            </w:pPr>
            <w:r>
              <w:rPr>
                <w:rFonts w:hint="eastAsia"/>
              </w:rPr>
              <w:t>包装密封性良好，无破损漏气，形态正常，色泽均匀</w:t>
            </w:r>
          </w:p>
        </w:tc>
        <w:tc>
          <w:tcPr>
            <w:tcW w:w="1417" w:type="dxa"/>
            <w:shd w:val="clear" w:color="auto" w:fill="auto"/>
            <w:vAlign w:val="center"/>
          </w:tcPr>
          <w:p w14:paraId="5F615E16">
            <w:pPr>
              <w:pStyle w:val="178"/>
            </w:pPr>
            <w:r>
              <w:rPr>
                <w:rFonts w:hint="eastAsia"/>
              </w:rPr>
              <w:t>未完全杀菌应0℃</w:t>
            </w:r>
            <w:bookmarkStart w:id="68" w:name="OLE_LINK8"/>
            <w:r>
              <w:rPr>
                <w:rFonts w:hint="eastAsia"/>
              </w:rPr>
              <w:t>～</w:t>
            </w:r>
            <w:bookmarkEnd w:id="68"/>
            <w:r>
              <w:rPr>
                <w:rFonts w:hint="eastAsia"/>
              </w:rPr>
              <w:t>4℃；</w:t>
            </w:r>
          </w:p>
          <w:p w14:paraId="1C41AEA6">
            <w:pPr>
              <w:pStyle w:val="178"/>
            </w:pPr>
            <w:r>
              <w:rPr>
                <w:rFonts w:hint="eastAsia"/>
              </w:rPr>
              <w:t>经高温杀菌并真空包装的</w:t>
            </w:r>
            <w:r>
              <w:t>产品</w:t>
            </w:r>
            <w:r>
              <w:rPr>
                <w:rFonts w:hint="eastAsia"/>
              </w:rPr>
              <w:t>可常温（≤</w:t>
            </w:r>
            <w:r>
              <w:t>25</w:t>
            </w:r>
            <w:r>
              <w:rPr>
                <w:vertAlign w:val="superscript"/>
              </w:rPr>
              <w:t xml:space="preserve"> </w:t>
            </w:r>
            <w:r>
              <w:rPr>
                <w:rFonts w:hint="eastAsia"/>
              </w:rPr>
              <w:t>℃）</w:t>
            </w:r>
          </w:p>
        </w:tc>
        <w:tc>
          <w:tcPr>
            <w:tcW w:w="1276" w:type="dxa"/>
            <w:shd w:val="clear" w:color="auto" w:fill="auto"/>
            <w:vAlign w:val="center"/>
          </w:tcPr>
          <w:p w14:paraId="3BCAB58C">
            <w:pPr>
              <w:pStyle w:val="178"/>
            </w:pPr>
            <w:r>
              <w:rPr>
                <w:rFonts w:hint="eastAsia"/>
              </w:rPr>
              <w:t>-</w:t>
            </w:r>
          </w:p>
        </w:tc>
        <w:tc>
          <w:tcPr>
            <w:tcW w:w="1831" w:type="dxa"/>
            <w:shd w:val="clear" w:color="auto" w:fill="auto"/>
            <w:vAlign w:val="center"/>
          </w:tcPr>
          <w:p w14:paraId="04C0E4D8">
            <w:pPr>
              <w:pStyle w:val="178"/>
            </w:pPr>
            <w:r>
              <w:rPr>
                <w:rFonts w:hint="eastAsia"/>
              </w:rPr>
              <w:t>离墙≥</w:t>
            </w:r>
            <w:r>
              <w:t>2</w:t>
            </w:r>
            <w:r>
              <w:rPr>
                <w:rFonts w:hint="eastAsia"/>
              </w:rPr>
              <w:t>0cm，离地≥10cm，分类分区存放</w:t>
            </w:r>
          </w:p>
        </w:tc>
      </w:tr>
    </w:tbl>
    <w:p w14:paraId="72EE51AB">
      <w:pPr>
        <w:pStyle w:val="164"/>
        <w:numPr>
          <w:ilvl w:val="0"/>
          <w:numId w:val="0"/>
        </w:numPr>
      </w:pPr>
    </w:p>
    <w:p w14:paraId="278726CA">
      <w:pPr>
        <w:pStyle w:val="105"/>
        <w:spacing w:before="120" w:after="120"/>
      </w:pPr>
      <w:bookmarkStart w:id="69" w:name="_Toc209536351"/>
      <w:r>
        <w:rPr>
          <w:rFonts w:hint="eastAsia"/>
        </w:rPr>
        <w:t>在库维护</w:t>
      </w:r>
      <w:bookmarkEnd w:id="69"/>
    </w:p>
    <w:p w14:paraId="46F1283A">
      <w:pPr>
        <w:pStyle w:val="165"/>
      </w:pPr>
      <w:r>
        <w:rPr>
          <w:rFonts w:hint="eastAsia"/>
        </w:rPr>
        <w:t>在产品储存期间，应定期检查库内温湿度，并使其维持在表1规定的范围内。应定期对库存产品进行检查，检查内容包括但不限于包装完整性、产品颜色、气味等。加工产品在库检查与库存周期见</w:t>
      </w:r>
      <w:r>
        <w:t>表</w:t>
      </w:r>
      <w:r>
        <w:rPr>
          <w:rFonts w:hint="eastAsia"/>
        </w:rPr>
        <w:t>2。</w:t>
      </w:r>
    </w:p>
    <w:p w14:paraId="6A34556E">
      <w:pPr>
        <w:pStyle w:val="112"/>
        <w:spacing w:before="120" w:after="120"/>
      </w:pPr>
      <w:bookmarkStart w:id="70" w:name="OLE_LINK13"/>
      <w:bookmarkStart w:id="71" w:name="OLE_LINK12"/>
      <w:r>
        <w:rPr>
          <w:rFonts w:hint="eastAsia"/>
        </w:rPr>
        <w:t>加工产品在库检查与库存周期</w:t>
      </w:r>
      <w:bookmarkEnd w:id="70"/>
      <w:bookmarkEnd w:id="71"/>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332"/>
        <w:gridCol w:w="1769"/>
        <w:gridCol w:w="3686"/>
        <w:gridCol w:w="1547"/>
      </w:tblGrid>
      <w:tr w14:paraId="667C360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332" w:type="dxa"/>
            <w:tcBorders>
              <w:top w:val="single" w:color="auto" w:sz="8" w:space="0"/>
              <w:bottom w:val="single" w:color="auto" w:sz="8" w:space="0"/>
            </w:tcBorders>
            <w:shd w:val="clear" w:color="auto" w:fill="auto"/>
            <w:vAlign w:val="center"/>
          </w:tcPr>
          <w:p w14:paraId="31B5496E">
            <w:pPr>
              <w:pStyle w:val="178"/>
            </w:pPr>
            <w:r>
              <w:rPr>
                <w:rFonts w:hint="eastAsia"/>
              </w:rPr>
              <w:t>产品类别</w:t>
            </w:r>
          </w:p>
        </w:tc>
        <w:tc>
          <w:tcPr>
            <w:tcW w:w="1769" w:type="dxa"/>
            <w:tcBorders>
              <w:top w:val="single" w:color="auto" w:sz="8" w:space="0"/>
              <w:bottom w:val="single" w:color="auto" w:sz="8" w:space="0"/>
            </w:tcBorders>
            <w:shd w:val="clear" w:color="auto" w:fill="auto"/>
            <w:vAlign w:val="center"/>
          </w:tcPr>
          <w:p w14:paraId="6F14D35F">
            <w:pPr>
              <w:pStyle w:val="178"/>
            </w:pPr>
            <w:bookmarkStart w:id="72" w:name="OLE_LINK6"/>
            <w:bookmarkStart w:id="73" w:name="OLE_LINK7"/>
            <w:r>
              <w:rPr>
                <w:rFonts w:hint="eastAsia"/>
              </w:rPr>
              <w:t>检查</w:t>
            </w:r>
            <w:bookmarkEnd w:id="72"/>
            <w:bookmarkEnd w:id="73"/>
            <w:r>
              <w:rPr>
                <w:rFonts w:hint="eastAsia"/>
              </w:rPr>
              <w:t>频率</w:t>
            </w:r>
          </w:p>
        </w:tc>
        <w:tc>
          <w:tcPr>
            <w:tcW w:w="3686" w:type="dxa"/>
            <w:tcBorders>
              <w:top w:val="single" w:color="auto" w:sz="8" w:space="0"/>
              <w:bottom w:val="single" w:color="auto" w:sz="8" w:space="0"/>
            </w:tcBorders>
            <w:shd w:val="clear" w:color="auto" w:fill="auto"/>
            <w:vAlign w:val="center"/>
          </w:tcPr>
          <w:p w14:paraId="5B331014">
            <w:pPr>
              <w:pStyle w:val="178"/>
            </w:pPr>
            <w:r>
              <w:rPr>
                <w:rFonts w:hint="eastAsia"/>
              </w:rPr>
              <w:t>检查内容与异常处理</w:t>
            </w:r>
          </w:p>
        </w:tc>
        <w:tc>
          <w:tcPr>
            <w:tcW w:w="1547" w:type="dxa"/>
            <w:tcBorders>
              <w:top w:val="single" w:color="auto" w:sz="8" w:space="0"/>
              <w:bottom w:val="single" w:color="auto" w:sz="8" w:space="0"/>
            </w:tcBorders>
            <w:shd w:val="clear" w:color="auto" w:fill="auto"/>
            <w:vAlign w:val="center"/>
          </w:tcPr>
          <w:p w14:paraId="7688C219">
            <w:pPr>
              <w:pStyle w:val="178"/>
            </w:pPr>
            <w:r>
              <w:rPr>
                <w:rFonts w:hint="eastAsia"/>
              </w:rPr>
              <w:t>库存周期</w:t>
            </w:r>
          </w:p>
        </w:tc>
      </w:tr>
      <w:tr w14:paraId="0EF501D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2" w:type="dxa"/>
            <w:tcBorders>
              <w:top w:val="single" w:color="auto" w:sz="8" w:space="0"/>
            </w:tcBorders>
            <w:shd w:val="clear" w:color="auto" w:fill="auto"/>
            <w:vAlign w:val="center"/>
          </w:tcPr>
          <w:p w14:paraId="5E8985DB">
            <w:pPr>
              <w:pStyle w:val="178"/>
            </w:pPr>
            <w:bookmarkStart w:id="74" w:name="OLE_LINK23"/>
            <w:r>
              <w:rPr>
                <w:rFonts w:hint="eastAsia"/>
              </w:rPr>
              <w:t>冷鲜分割肉</w:t>
            </w:r>
            <w:bookmarkEnd w:id="74"/>
          </w:p>
        </w:tc>
        <w:tc>
          <w:tcPr>
            <w:tcW w:w="1769" w:type="dxa"/>
            <w:tcBorders>
              <w:top w:val="single" w:color="auto" w:sz="8" w:space="0"/>
            </w:tcBorders>
            <w:shd w:val="clear" w:color="auto" w:fill="auto"/>
            <w:vAlign w:val="center"/>
          </w:tcPr>
          <w:p w14:paraId="59AC4E20">
            <w:pPr>
              <w:pStyle w:val="178"/>
            </w:pPr>
            <w:r>
              <w:rPr>
                <w:rFonts w:hint="eastAsia"/>
              </w:rPr>
              <w:t>至少每日1次</w:t>
            </w:r>
          </w:p>
        </w:tc>
        <w:tc>
          <w:tcPr>
            <w:tcW w:w="3686" w:type="dxa"/>
            <w:tcBorders>
              <w:top w:val="single" w:color="auto" w:sz="8" w:space="0"/>
            </w:tcBorders>
            <w:shd w:val="clear" w:color="auto" w:fill="auto"/>
            <w:vAlign w:val="center"/>
          </w:tcPr>
          <w:p w14:paraId="274A991A">
            <w:pPr>
              <w:pStyle w:val="178"/>
              <w:ind w:firstLine="180" w:firstLineChars="100"/>
              <w:jc w:val="left"/>
            </w:pPr>
            <w:r>
              <w:rPr>
                <w:rFonts w:hint="eastAsia"/>
              </w:rPr>
              <w:t>检查颜色是否变暗、脂肪是否黄变、有无异味、包装有无渗漏。发现异常立即隔离。</w:t>
            </w:r>
          </w:p>
        </w:tc>
        <w:tc>
          <w:tcPr>
            <w:tcW w:w="1547" w:type="dxa"/>
            <w:tcBorders>
              <w:top w:val="single" w:color="auto" w:sz="8" w:space="0"/>
            </w:tcBorders>
            <w:shd w:val="clear" w:color="auto" w:fill="auto"/>
            <w:vAlign w:val="center"/>
          </w:tcPr>
          <w:p w14:paraId="242657B8">
            <w:pPr>
              <w:pStyle w:val="178"/>
            </w:pPr>
            <w:r>
              <w:rPr>
                <w:rFonts w:hint="eastAsia"/>
              </w:rPr>
              <w:t>不超过72</w:t>
            </w:r>
            <w:r>
              <w:rPr>
                <w:rFonts w:hint="eastAsia"/>
                <w:vertAlign w:val="superscript"/>
              </w:rPr>
              <w:t xml:space="preserve"> </w:t>
            </w:r>
            <w:r>
              <w:t>h</w:t>
            </w:r>
          </w:p>
        </w:tc>
      </w:tr>
      <w:tr w14:paraId="327DBD0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2" w:type="dxa"/>
            <w:shd w:val="clear" w:color="auto" w:fill="auto"/>
            <w:vAlign w:val="center"/>
          </w:tcPr>
          <w:p w14:paraId="2FF4FDAF">
            <w:pPr>
              <w:pStyle w:val="178"/>
            </w:pPr>
            <w:bookmarkStart w:id="75" w:name="OLE_LINK25"/>
            <w:bookmarkStart w:id="76" w:name="OLE_LINK24"/>
            <w:r>
              <w:rPr>
                <w:rFonts w:hint="eastAsia"/>
              </w:rPr>
              <w:t>腊味制品</w:t>
            </w:r>
            <w:bookmarkEnd w:id="75"/>
            <w:bookmarkEnd w:id="76"/>
          </w:p>
        </w:tc>
        <w:tc>
          <w:tcPr>
            <w:tcW w:w="1769" w:type="dxa"/>
            <w:shd w:val="clear" w:color="auto" w:fill="auto"/>
            <w:vAlign w:val="center"/>
          </w:tcPr>
          <w:p w14:paraId="6C5AEF18">
            <w:pPr>
              <w:pStyle w:val="178"/>
            </w:pPr>
            <w:r>
              <w:rPr>
                <w:rFonts w:hint="eastAsia"/>
              </w:rPr>
              <w:t>每周1次</w:t>
            </w:r>
          </w:p>
        </w:tc>
        <w:tc>
          <w:tcPr>
            <w:tcW w:w="3686" w:type="dxa"/>
            <w:shd w:val="clear" w:color="auto" w:fill="auto"/>
            <w:vAlign w:val="center"/>
          </w:tcPr>
          <w:p w14:paraId="76C1B27A">
            <w:pPr>
              <w:pStyle w:val="178"/>
              <w:ind w:firstLine="180" w:firstLineChars="100"/>
              <w:jc w:val="left"/>
            </w:pPr>
            <w:r>
              <w:rPr>
                <w:rFonts w:hint="eastAsia"/>
              </w:rPr>
              <w:t>检查有无哈喇味、霉变、虫蛀。发现胀袋、严重氧化应立即移出合格品区。</w:t>
            </w:r>
          </w:p>
        </w:tc>
        <w:tc>
          <w:tcPr>
            <w:tcW w:w="1547" w:type="dxa"/>
            <w:shd w:val="clear" w:color="auto" w:fill="auto"/>
            <w:vAlign w:val="center"/>
          </w:tcPr>
          <w:p w14:paraId="12FE213C">
            <w:pPr>
              <w:pStyle w:val="178"/>
              <w:ind w:firstLine="180" w:firstLineChars="100"/>
              <w:jc w:val="left"/>
            </w:pPr>
            <w:r>
              <w:rPr>
                <w:rFonts w:hint="eastAsia"/>
              </w:rPr>
              <w:t>根据产品包装标示保质期，一般不超过6个月</w:t>
            </w:r>
          </w:p>
        </w:tc>
      </w:tr>
      <w:tr w14:paraId="3386759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2" w:type="dxa"/>
            <w:shd w:val="clear" w:color="auto" w:fill="auto"/>
            <w:vAlign w:val="center"/>
          </w:tcPr>
          <w:p w14:paraId="08D5136E">
            <w:pPr>
              <w:pStyle w:val="178"/>
            </w:pPr>
            <w:bookmarkStart w:id="77" w:name="OLE_LINK26"/>
            <w:bookmarkStart w:id="78" w:name="OLE_LINK16"/>
            <w:bookmarkStart w:id="79" w:name="OLE_LINK15"/>
            <w:r>
              <w:rPr>
                <w:rFonts w:hint="eastAsia"/>
              </w:rPr>
              <w:t>卤味制品</w:t>
            </w:r>
            <w:bookmarkEnd w:id="77"/>
            <w:bookmarkEnd w:id="78"/>
            <w:bookmarkEnd w:id="79"/>
          </w:p>
        </w:tc>
        <w:tc>
          <w:tcPr>
            <w:tcW w:w="1769" w:type="dxa"/>
            <w:shd w:val="clear" w:color="auto" w:fill="auto"/>
            <w:vAlign w:val="center"/>
          </w:tcPr>
          <w:p w14:paraId="4EB6BDBD">
            <w:pPr>
              <w:pStyle w:val="178"/>
            </w:pPr>
            <w:bookmarkStart w:id="80" w:name="OLE_LINK18"/>
            <w:bookmarkStart w:id="81" w:name="OLE_LINK17"/>
            <w:r>
              <w:rPr>
                <w:rFonts w:hint="eastAsia"/>
              </w:rPr>
              <w:t>冷藏</w:t>
            </w:r>
            <w:bookmarkEnd w:id="80"/>
            <w:bookmarkEnd w:id="81"/>
            <w:r>
              <w:rPr>
                <w:rFonts w:hint="eastAsia"/>
              </w:rPr>
              <w:t>：至少每日1次；常温：每周1次</w:t>
            </w:r>
          </w:p>
        </w:tc>
        <w:tc>
          <w:tcPr>
            <w:tcW w:w="3686" w:type="dxa"/>
            <w:shd w:val="clear" w:color="auto" w:fill="auto"/>
            <w:vAlign w:val="center"/>
          </w:tcPr>
          <w:p w14:paraId="0F7D177B">
            <w:pPr>
              <w:pStyle w:val="178"/>
              <w:ind w:firstLine="180" w:firstLineChars="100"/>
              <w:jc w:val="left"/>
            </w:pPr>
            <w:r>
              <w:rPr>
                <w:rFonts w:hint="eastAsia"/>
              </w:rPr>
              <w:t>检查包装是否胀气、破损，产品汤汁是否浑浊。发现胀袋、异味立即报废处理。</w:t>
            </w:r>
          </w:p>
        </w:tc>
        <w:tc>
          <w:tcPr>
            <w:tcW w:w="1547" w:type="dxa"/>
            <w:shd w:val="clear" w:color="auto" w:fill="auto"/>
            <w:vAlign w:val="center"/>
          </w:tcPr>
          <w:p w14:paraId="20BDE460">
            <w:pPr>
              <w:pStyle w:val="178"/>
            </w:pPr>
            <w:r>
              <w:rPr>
                <w:rFonts w:hint="eastAsia"/>
              </w:rPr>
              <w:t>冷藏：依包装标示，通常3</w:t>
            </w:r>
            <w:r>
              <w:rPr>
                <w:vertAlign w:val="superscript"/>
              </w:rPr>
              <w:t xml:space="preserve"> </w:t>
            </w:r>
            <w:r>
              <w:t>d</w:t>
            </w:r>
            <w:r>
              <w:rPr>
                <w:rFonts w:hint="eastAsia"/>
              </w:rPr>
              <w:t>～7</w:t>
            </w:r>
            <w:bookmarkStart w:id="82" w:name="OLE_LINK9"/>
            <w:r>
              <w:rPr>
                <w:rFonts w:hint="eastAsia"/>
                <w:vertAlign w:val="superscript"/>
              </w:rPr>
              <w:t xml:space="preserve"> </w:t>
            </w:r>
            <w:r>
              <w:t>d</w:t>
            </w:r>
            <w:bookmarkEnd w:id="82"/>
            <w:r>
              <w:rPr>
                <w:rFonts w:hint="eastAsia"/>
              </w:rPr>
              <w:t>；常温：依包装标示保质期</w:t>
            </w:r>
          </w:p>
        </w:tc>
      </w:tr>
    </w:tbl>
    <w:p w14:paraId="40192D2C">
      <w:pPr>
        <w:pStyle w:val="165"/>
      </w:pPr>
      <w:r>
        <w:rPr>
          <w:rFonts w:hint="eastAsia"/>
        </w:rPr>
        <w:t>产品码放应按照不同品种、规格，分区、分类分别码放，堆放高度以纸箱承压不变形为宜或包装标注的堆码高度，散装货物堆放高度不宜高于蒸发器下端部位。</w:t>
      </w:r>
    </w:p>
    <w:p w14:paraId="47EA8510">
      <w:pPr>
        <w:pStyle w:val="165"/>
      </w:pPr>
      <w:r>
        <w:rPr>
          <w:rFonts w:hint="eastAsia"/>
        </w:rPr>
        <w:t>冷库温度波动不应超过±1</w:t>
      </w:r>
      <w:r>
        <w:rPr>
          <w:rFonts w:hint="eastAsia"/>
          <w:vertAlign w:val="superscript"/>
        </w:rPr>
        <w:t xml:space="preserve"> </w:t>
      </w:r>
      <w:r>
        <w:rPr>
          <w:rFonts w:hint="eastAsia"/>
        </w:rPr>
        <w:t>℃。冷库温度记录间隔时间不应超过30</w:t>
      </w:r>
      <w:r>
        <w:rPr>
          <w:rFonts w:hint="eastAsia"/>
          <w:vertAlign w:val="superscript"/>
        </w:rPr>
        <w:t xml:space="preserve"> </w:t>
      </w:r>
      <w:r>
        <w:rPr>
          <w:rFonts w:hint="eastAsia"/>
        </w:rPr>
        <w:t>min/次。</w:t>
      </w:r>
    </w:p>
    <w:p w14:paraId="652B7997">
      <w:pPr>
        <w:pStyle w:val="165"/>
      </w:pPr>
      <w:r>
        <w:rPr>
          <w:rFonts w:hint="eastAsia"/>
        </w:rPr>
        <w:t>货物应置于垫板上，不直接落地，应严格执行“先进先出”的原则进行管理。</w:t>
      </w:r>
    </w:p>
    <w:p w14:paraId="720D12A5">
      <w:pPr>
        <w:pStyle w:val="165"/>
      </w:pPr>
      <w:r>
        <w:rPr>
          <w:rFonts w:hint="eastAsia"/>
        </w:rPr>
        <w:t>出现异常情况应及时处理，</w:t>
      </w:r>
      <w:r>
        <w:t>具体如下</w:t>
      </w:r>
      <w:r>
        <w:rPr>
          <w:rFonts w:hint="eastAsia"/>
        </w:rPr>
        <w:t>。</w:t>
      </w:r>
    </w:p>
    <w:p w14:paraId="5C6845D0">
      <w:pPr>
        <w:pStyle w:val="132"/>
      </w:pPr>
      <w:r>
        <w:rPr>
          <w:rFonts w:hint="eastAsia"/>
        </w:rPr>
        <w:t>冷鲜分割肉：超过4</w:t>
      </w:r>
      <w:r>
        <w:rPr>
          <w:vertAlign w:val="superscript"/>
        </w:rPr>
        <w:t xml:space="preserve"> </w:t>
      </w:r>
      <w:r>
        <w:rPr>
          <w:rFonts w:hint="eastAsia"/>
        </w:rPr>
        <w:t>℃立即报警，评估产品品质，必要时转移或报废。发现变色、异味、发黏等，立即移至不合格品区隔离，并评估处理。</w:t>
      </w:r>
    </w:p>
    <w:p w14:paraId="6F2BD950">
      <w:pPr>
        <w:pStyle w:val="132"/>
      </w:pPr>
      <w:r>
        <w:rPr>
          <w:rFonts w:hint="eastAsia"/>
        </w:rPr>
        <w:t>腊味制品：</w:t>
      </w:r>
    </w:p>
    <w:p w14:paraId="490FE16F">
      <w:pPr>
        <w:pStyle w:val="187"/>
      </w:pPr>
      <w:r>
        <w:rPr>
          <w:rFonts w:hint="eastAsia"/>
        </w:rPr>
        <w:t>霉变/虫蛀：立即隔离，轻微霉变可擦拭处理并单独存放观察，严重者报废；</w:t>
      </w:r>
    </w:p>
    <w:p w14:paraId="0D59CECA">
      <w:pPr>
        <w:pStyle w:val="187"/>
      </w:pPr>
      <w:r>
        <w:rPr>
          <w:rFonts w:hint="eastAsia"/>
        </w:rPr>
        <w:t>哈败：出现明显哈喇味，作不合格品处理，不得出库。</w:t>
      </w:r>
    </w:p>
    <w:p w14:paraId="0B0868F7">
      <w:pPr>
        <w:pStyle w:val="132"/>
      </w:pPr>
      <w:r>
        <w:rPr>
          <w:rFonts w:hint="eastAsia"/>
        </w:rPr>
        <w:t>卤味制品：</w:t>
      </w:r>
    </w:p>
    <w:p w14:paraId="098F9032">
      <w:pPr>
        <w:pStyle w:val="187"/>
      </w:pPr>
      <w:r>
        <w:rPr>
          <w:rFonts w:hint="eastAsia"/>
        </w:rPr>
        <w:t>胀袋/漏气：一经发现，立即报废，移至不合格品区，严禁出库；</w:t>
      </w:r>
    </w:p>
    <w:p w14:paraId="7E06379E">
      <w:pPr>
        <w:pStyle w:val="187"/>
      </w:pPr>
      <w:r>
        <w:rPr>
          <w:rFonts w:hint="eastAsia"/>
        </w:rPr>
        <w:t>温度异常：冷藏产品超温，立即处理并评估；常温产品长期处于高温环境，需加强质量检查。</w:t>
      </w:r>
    </w:p>
    <w:p w14:paraId="01C92F7B">
      <w:pPr>
        <w:pStyle w:val="105"/>
        <w:spacing w:before="120" w:after="120"/>
      </w:pPr>
      <w:bookmarkStart w:id="83" w:name="_Toc209536352"/>
      <w:r>
        <w:rPr>
          <w:rFonts w:hint="eastAsia"/>
        </w:rPr>
        <w:t>出库</w:t>
      </w:r>
      <w:bookmarkEnd w:id="83"/>
    </w:p>
    <w:p w14:paraId="067930DF">
      <w:pPr>
        <w:pStyle w:val="165"/>
      </w:pPr>
      <w:r>
        <w:rPr>
          <w:rFonts w:hint="eastAsia"/>
        </w:rPr>
        <w:t>产品出库时应再次核对产品信息（如名称、规格、批次、数量等），出库产品应准确无误、质量合格。</w:t>
      </w:r>
    </w:p>
    <w:p w14:paraId="73E80168">
      <w:pPr>
        <w:pStyle w:val="165"/>
      </w:pPr>
      <w:r>
        <w:rPr>
          <w:rFonts w:hint="eastAsia"/>
        </w:rPr>
        <w:t>装车时应检查运输车辆的卫生状况，车厢是否清洁、无污染、无异味。并确保车内温度符合产品运输要求。冷鲜分割肉和卤味冷藏制品需预冷车厢至≤</w:t>
      </w:r>
      <w:r>
        <w:t>4</w:t>
      </w:r>
      <w:r>
        <w:rPr>
          <w:vertAlign w:val="superscript"/>
        </w:rPr>
        <w:t xml:space="preserve"> </w:t>
      </w:r>
      <w:r>
        <w:rPr>
          <w:rFonts w:hint="eastAsia"/>
        </w:rPr>
        <w:t>℃方可装车。</w:t>
      </w:r>
    </w:p>
    <w:p w14:paraId="5198C9A5">
      <w:pPr>
        <w:pStyle w:val="165"/>
      </w:pPr>
      <w:r>
        <w:rPr>
          <w:rFonts w:hint="eastAsia"/>
        </w:rPr>
        <w:t>浦北黑猪加工产品出库操作指标如下：</w:t>
      </w:r>
    </w:p>
    <w:p w14:paraId="2516B87C">
      <w:pPr>
        <w:pStyle w:val="132"/>
      </w:pPr>
      <w:r>
        <w:rPr>
          <w:rFonts w:hint="eastAsia"/>
        </w:rPr>
        <w:t>冷鲜分割肉：快速检查包装有无破损，肉色是否正常，有无异味。距保质期截止时间不足24</w:t>
      </w:r>
      <w:r>
        <w:rPr>
          <w:rFonts w:hint="eastAsia"/>
          <w:vertAlign w:val="superscript"/>
        </w:rPr>
        <w:t xml:space="preserve"> </w:t>
      </w:r>
      <w:r>
        <w:t>h</w:t>
      </w:r>
      <w:r>
        <w:rPr>
          <w:rFonts w:hint="eastAsia"/>
        </w:rPr>
        <w:t>的产品不得出库。从冷库拣货后，应在低温理货区（≤10℃）快速操作，停留时间不超过30</w:t>
      </w:r>
      <w:r>
        <w:rPr>
          <w:rFonts w:hint="eastAsia"/>
          <w:vertAlign w:val="superscript"/>
        </w:rPr>
        <w:t xml:space="preserve"> </w:t>
      </w:r>
      <w:r>
        <w:t>min</w:t>
      </w:r>
      <w:r>
        <w:rPr>
          <w:rFonts w:hint="eastAsia"/>
        </w:rPr>
        <w:t>；</w:t>
      </w:r>
    </w:p>
    <w:p w14:paraId="0BE4E46F">
      <w:pPr>
        <w:pStyle w:val="132"/>
      </w:pPr>
      <w:r>
        <w:rPr>
          <w:rFonts w:hint="eastAsia"/>
        </w:rPr>
        <w:t>腊味制品：检查包装完整性，确认无霉变、无哈败气味。</w:t>
      </w:r>
    </w:p>
    <w:p w14:paraId="759444D4">
      <w:pPr>
        <w:pStyle w:val="132"/>
      </w:pPr>
      <w:r>
        <w:rPr>
          <w:rFonts w:hint="eastAsia"/>
        </w:rPr>
        <w:t>卤味制品：重点检查真空包装是否完好，有无胀袋、漏气。 冷藏产品需检查是否有变质迹象。明确区分冷藏品与常温品，防止错发。</w:t>
      </w:r>
    </w:p>
    <w:p w14:paraId="1C1F12FB">
      <w:pPr>
        <w:pStyle w:val="165"/>
      </w:pPr>
      <w:r>
        <w:rPr>
          <w:rFonts w:hint="eastAsia"/>
        </w:rPr>
        <w:t>出库交接手续应齐全，记录应完整，实现产品去向可追溯。</w:t>
      </w:r>
    </w:p>
    <w:p w14:paraId="245EB2C3">
      <w:pPr>
        <w:pStyle w:val="104"/>
        <w:spacing w:before="240" w:after="240"/>
      </w:pPr>
      <w:bookmarkStart w:id="84" w:name="_Toc209536353"/>
      <w:r>
        <w:rPr>
          <w:rFonts w:hint="eastAsia"/>
        </w:rPr>
        <w:t>仓储安全</w:t>
      </w:r>
      <w:bookmarkEnd w:id="84"/>
    </w:p>
    <w:p w14:paraId="686AD773">
      <w:pPr>
        <w:pStyle w:val="105"/>
        <w:spacing w:before="120" w:after="120"/>
      </w:pPr>
      <w:bookmarkStart w:id="85" w:name="_Toc209536354"/>
      <w:r>
        <w:rPr>
          <w:rFonts w:hint="eastAsia"/>
        </w:rPr>
        <w:t>人员安全</w:t>
      </w:r>
      <w:bookmarkEnd w:id="85"/>
    </w:p>
    <w:p w14:paraId="4B51173B">
      <w:pPr>
        <w:pStyle w:val="165"/>
      </w:pPr>
      <w:r>
        <w:rPr>
          <w:rFonts w:hint="eastAsia"/>
        </w:rPr>
        <w:t>应制定并落实仓储的设备操作安全制度、食品安全管理制度。</w:t>
      </w:r>
    </w:p>
    <w:p w14:paraId="452BFA2B">
      <w:pPr>
        <w:pStyle w:val="165"/>
      </w:pPr>
      <w:r>
        <w:rPr>
          <w:rFonts w:hint="eastAsia"/>
        </w:rPr>
        <w:t>仓储和加工作业人员上岗前应进行安全、技术、设备装置相关知识的培训，应掌握的防范和救护知识。</w:t>
      </w:r>
    </w:p>
    <w:p w14:paraId="0F749BB0">
      <w:pPr>
        <w:pStyle w:val="165"/>
      </w:pPr>
      <w:r>
        <w:rPr>
          <w:rFonts w:hint="eastAsia"/>
        </w:rPr>
        <w:t>企业应根据GB/T 14440的规定，并结合实际情况对个人最长连续低温作业时间做出规定。</w:t>
      </w:r>
    </w:p>
    <w:p w14:paraId="23D8B16B">
      <w:pPr>
        <w:pStyle w:val="165"/>
      </w:pPr>
      <w:r>
        <w:rPr>
          <w:rFonts w:hint="eastAsia"/>
        </w:rPr>
        <w:t>仓储人员应穿戴清洁的工作衣、帽等防护用品；装卸、搬运作业的人员应穿戴防滑防砸安全靴；叉车工应戴安全帽，佩戴眼镜应做防雾处理；二次加工过程应佩戴防割手套等。</w:t>
      </w:r>
    </w:p>
    <w:p w14:paraId="07DBA62E">
      <w:pPr>
        <w:pStyle w:val="105"/>
        <w:spacing w:before="120" w:after="120"/>
      </w:pPr>
      <w:bookmarkStart w:id="86" w:name="_Toc209536355"/>
      <w:r>
        <w:rPr>
          <w:rFonts w:hint="eastAsia"/>
        </w:rPr>
        <w:t>设施设备安全</w:t>
      </w:r>
      <w:bookmarkEnd w:id="86"/>
    </w:p>
    <w:p w14:paraId="5E964E62">
      <w:pPr>
        <w:pStyle w:val="165"/>
      </w:pPr>
      <w:r>
        <w:rPr>
          <w:rFonts w:hint="eastAsia"/>
        </w:rPr>
        <w:t>转运产品时应防止物品、作业设备工具、托盘在移动过程中与人员和设施发生碰撞。</w:t>
      </w:r>
    </w:p>
    <w:p w14:paraId="7CCE2508">
      <w:pPr>
        <w:pStyle w:val="165"/>
      </w:pPr>
      <w:r>
        <w:rPr>
          <w:rFonts w:hint="eastAsia"/>
        </w:rPr>
        <w:t>根据产品特性和仓储要求对作业区域、作业设备、托盘和工具进行清洁和消毒。低温冷库应定期除霜。</w:t>
      </w:r>
    </w:p>
    <w:p w14:paraId="782BE434">
      <w:pPr>
        <w:pStyle w:val="165"/>
      </w:pPr>
      <w:r>
        <w:rPr>
          <w:rFonts w:hint="eastAsia"/>
        </w:rPr>
        <w:t>仓储其他安全控制措施应符合GB/T 28009</w:t>
      </w:r>
      <w:bookmarkStart w:id="87" w:name="OLE_LINK29"/>
      <w:r>
        <w:rPr>
          <w:rFonts w:hint="eastAsia"/>
        </w:rPr>
        <w:t>—2011</w:t>
      </w:r>
      <w:bookmarkEnd w:id="87"/>
      <w:r>
        <w:rPr>
          <w:rFonts w:hint="eastAsia"/>
        </w:rPr>
        <w:t>中第9章和第10章的要求。</w:t>
      </w:r>
    </w:p>
    <w:p w14:paraId="7138275E">
      <w:pPr>
        <w:pStyle w:val="105"/>
        <w:spacing w:before="120" w:after="120"/>
      </w:pPr>
      <w:bookmarkStart w:id="88" w:name="_Toc209536356"/>
      <w:r>
        <w:rPr>
          <w:rFonts w:hint="eastAsia"/>
        </w:rPr>
        <w:t>产品安全</w:t>
      </w:r>
      <w:bookmarkEnd w:id="88"/>
    </w:p>
    <w:p w14:paraId="68E77B93">
      <w:pPr>
        <w:pStyle w:val="56"/>
        <w:ind w:firstLine="420"/>
      </w:pPr>
      <w:r>
        <w:rPr>
          <w:rFonts w:hint="eastAsia"/>
        </w:rPr>
        <w:t>应及时掌握产品质量及温度变化情况，发现问题应即刻通报存货人，调整库房温度到规定值。</w:t>
      </w:r>
    </w:p>
    <w:p w14:paraId="7B8ABCAB">
      <w:pPr>
        <w:pStyle w:val="56"/>
        <w:ind w:firstLine="420"/>
      </w:pPr>
    </w:p>
    <w:p w14:paraId="4AA5596B">
      <w:pPr>
        <w:pStyle w:val="56"/>
        <w:ind w:firstLine="420"/>
      </w:pPr>
    </w:p>
    <w:p w14:paraId="5C562C18">
      <w:pPr>
        <w:pStyle w:val="104"/>
        <w:spacing w:before="240" w:after="240"/>
      </w:pPr>
      <w:bookmarkStart w:id="89" w:name="_Toc209536357"/>
      <w:r>
        <w:rPr>
          <w:rFonts w:hint="eastAsia"/>
        </w:rPr>
        <w:t>记录与追溯</w:t>
      </w:r>
      <w:bookmarkEnd w:id="89"/>
    </w:p>
    <w:p w14:paraId="2E391CAD">
      <w:pPr>
        <w:pStyle w:val="162"/>
      </w:pPr>
      <w:r>
        <w:rPr>
          <w:rFonts w:hint="eastAsia"/>
        </w:rPr>
        <w:t>应建立完整的仓储管理记录，至少包括温湿度记录、入库验收记录、在库检查记录、出库记录、清洁消毒记录等。所有记录应真实、准确、清晰、完整。应建立信息管理制度，纸质记录及时归档，电子记录及时备份，记录应至少保存2年。</w:t>
      </w:r>
    </w:p>
    <w:p w14:paraId="4929BAB8">
      <w:pPr>
        <w:pStyle w:val="162"/>
      </w:pPr>
      <w:r>
        <w:rPr>
          <w:rFonts w:hint="eastAsia"/>
        </w:rPr>
        <w:t>产品追溯</w:t>
      </w:r>
      <w:bookmarkStart w:id="90" w:name="OLE_LINK3"/>
      <w:bookmarkStart w:id="91" w:name="OLE_LINK2"/>
      <w:r>
        <w:rPr>
          <w:rFonts w:hint="eastAsia"/>
        </w:rPr>
        <w:t>应</w:t>
      </w:r>
      <w:r>
        <w:t>符合GB/T 40465</w:t>
      </w:r>
      <w:r>
        <w:rPr>
          <w:rFonts w:hint="eastAsia"/>
        </w:rPr>
        <w:t>的相关规定</w:t>
      </w:r>
      <w:bookmarkEnd w:id="90"/>
      <w:bookmarkEnd w:id="91"/>
      <w:r>
        <w:rPr>
          <w:rFonts w:hint="eastAsia"/>
        </w:rPr>
        <w:t>。</w:t>
      </w:r>
    </w:p>
    <w:bookmarkEnd w:id="24"/>
    <w:p w14:paraId="28F67400">
      <w:pPr>
        <w:pStyle w:val="56"/>
        <w:ind w:firstLine="0" w:firstLineChars="0"/>
        <w:jc w:val="center"/>
      </w:pPr>
      <w:bookmarkStart w:id="92" w:name="BookMark8"/>
      <w:r>
        <w:rPr>
          <w:rFonts w:hint="eastAsia"/>
        </w:rPr>
        <w:drawing>
          <wp:inline distT="0" distB="0" distL="0" distR="0">
            <wp:extent cx="1485900" cy="317500"/>
            <wp:effectExtent l="0" t="0" r="0" b="6350"/>
            <wp:docPr id="7" name="图片 7"/>
            <wp:cNvGraphicFramePr/>
            <a:graphic xmlns:a="http://schemas.openxmlformats.org/drawingml/2006/main">
              <a:graphicData uri="http://schemas.openxmlformats.org/drawingml/2006/picture">
                <pic:pic xmlns:pic="http://schemas.openxmlformats.org/drawingml/2006/picture">
                  <pic:nvPicPr>
                    <pic:cNvPr id="7" name="图片 7"/>
                    <pic:cNvPicPr/>
                  </pic:nvPicPr>
                  <pic:blipFill>
                    <a:blip r:embed="rId15">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92"/>
    </w:p>
    <w:sectPr>
      <w:pgSz w:w="11906" w:h="16838"/>
      <w:pgMar w:top="1928" w:right="1134" w:bottom="1134" w:left="1134" w:header="1418" w:footer="1134" w:gutter="284"/>
      <w:pgNumType w:start="1"/>
      <w:cols w:space="425" w:num="1"/>
      <w:formProt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0"/>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9E5A12">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8707D1">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D1ACEC">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3DFBFF">
    <w:pPr>
      <w:pStyle w:val="52"/>
    </w:pPr>
    <w:r>
      <w:fldChar w:fldCharType="begin"/>
    </w:r>
    <w:r>
      <w:instrText xml:space="preserve">PAGE   \* MERGEFORMAT</w:instrText>
    </w:r>
    <w:r>
      <w:fldChar w:fldCharType="separate"/>
    </w:r>
    <w:r>
      <w:rPr>
        <w:lang w:val="zh-CN"/>
      </w:rPr>
      <w:t>4</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1B63B">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EC3A2D">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9DCCEF">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73DE16">
    <w:pPr>
      <w:pStyle w:val="61"/>
    </w:pPr>
    <w:r>
      <w:fldChar w:fldCharType="begin"/>
    </w:r>
    <w:r>
      <w:instrText xml:space="preserve"> STYLEREF  标准文件_文件编号  \* MERGEFORMAT </w:instrText>
    </w:r>
    <w:r>
      <w:fldChar w:fldCharType="separate"/>
    </w:r>
    <w:r>
      <w:t>T/XXX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2830B4">
    <w:pPr>
      <w:pStyle w:val="18"/>
      <w:jc w:val="right"/>
    </w:pPr>
    <w:r>
      <w:fldChar w:fldCharType="begin"/>
    </w:r>
    <w:r>
      <w:instrText xml:space="preserve"> STYLEREF  标准文件_文件编号  \* MERGEFORMAT </w:instrText>
    </w:r>
    <w:r>
      <w:fldChar w:fldCharType="separate"/>
    </w:r>
    <w:r>
      <w:t>T/XXX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attachedTemplate r:id="rId1"/>
  <w:documentProtection w:edit="forms" w:enforcement="1" w:cryptProviderType="rsaAES" w:cryptAlgorithmClass="hash" w:cryptAlgorithmType="typeAny" w:cryptAlgorithmSid="14" w:cryptSpinCount="100000" w:hash="fRPsSKx72mPTPrnwa7YVIIOW7VQ8vjsTWcUJnrFrws8lEBKsBcZzHkqXnRU9pRTd2oSAQrFqb5pLn9KmFZ417Q==" w:salt="nIZlPh1JRk4nCHGZtFzlJA=="/>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45F7"/>
    <w:rsid w:val="0000040A"/>
    <w:rsid w:val="00000A94"/>
    <w:rsid w:val="00001972"/>
    <w:rsid w:val="00001D9A"/>
    <w:rsid w:val="000047E3"/>
    <w:rsid w:val="00007B3A"/>
    <w:rsid w:val="000107E0"/>
    <w:rsid w:val="00011FDE"/>
    <w:rsid w:val="00012FFD"/>
    <w:rsid w:val="00014162"/>
    <w:rsid w:val="00014340"/>
    <w:rsid w:val="00016A9C"/>
    <w:rsid w:val="00022184"/>
    <w:rsid w:val="00022762"/>
    <w:rsid w:val="000238E0"/>
    <w:rsid w:val="000249DB"/>
    <w:rsid w:val="0002595E"/>
    <w:rsid w:val="000264C4"/>
    <w:rsid w:val="00026F43"/>
    <w:rsid w:val="000303C3"/>
    <w:rsid w:val="000331D3"/>
    <w:rsid w:val="000346A5"/>
    <w:rsid w:val="000359C3"/>
    <w:rsid w:val="00035A7D"/>
    <w:rsid w:val="000365ED"/>
    <w:rsid w:val="0004249A"/>
    <w:rsid w:val="00043282"/>
    <w:rsid w:val="00044286"/>
    <w:rsid w:val="00046372"/>
    <w:rsid w:val="00047374"/>
    <w:rsid w:val="00047F28"/>
    <w:rsid w:val="000503AA"/>
    <w:rsid w:val="000506A1"/>
    <w:rsid w:val="000515DD"/>
    <w:rsid w:val="0005265A"/>
    <w:rsid w:val="000539DD"/>
    <w:rsid w:val="00053BD3"/>
    <w:rsid w:val="00053DE1"/>
    <w:rsid w:val="000556ED"/>
    <w:rsid w:val="00055FE2"/>
    <w:rsid w:val="0005616F"/>
    <w:rsid w:val="00060C2E"/>
    <w:rsid w:val="00061033"/>
    <w:rsid w:val="000619E9"/>
    <w:rsid w:val="000622D4"/>
    <w:rsid w:val="0006357D"/>
    <w:rsid w:val="000645CA"/>
    <w:rsid w:val="00067D59"/>
    <w:rsid w:val="00067F1E"/>
    <w:rsid w:val="00071CC0"/>
    <w:rsid w:val="00071CFC"/>
    <w:rsid w:val="00073C8C"/>
    <w:rsid w:val="00077B64"/>
    <w:rsid w:val="00080A1C"/>
    <w:rsid w:val="00082317"/>
    <w:rsid w:val="00083D2C"/>
    <w:rsid w:val="00086AA1"/>
    <w:rsid w:val="00087A77"/>
    <w:rsid w:val="00090CA6"/>
    <w:rsid w:val="00092B8A"/>
    <w:rsid w:val="00092FB0"/>
    <w:rsid w:val="00093330"/>
    <w:rsid w:val="000934C5"/>
    <w:rsid w:val="00093D25"/>
    <w:rsid w:val="00093DAB"/>
    <w:rsid w:val="00094D73"/>
    <w:rsid w:val="00096D63"/>
    <w:rsid w:val="000970D2"/>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066"/>
    <w:rsid w:val="000D0A9C"/>
    <w:rsid w:val="000D1795"/>
    <w:rsid w:val="000D329A"/>
    <w:rsid w:val="000D4B9C"/>
    <w:rsid w:val="000D4EB6"/>
    <w:rsid w:val="000D674A"/>
    <w:rsid w:val="000D753B"/>
    <w:rsid w:val="000E4C9E"/>
    <w:rsid w:val="000E6FD7"/>
    <w:rsid w:val="000E7144"/>
    <w:rsid w:val="000F06E1"/>
    <w:rsid w:val="000F0E3C"/>
    <w:rsid w:val="000F19D5"/>
    <w:rsid w:val="000F3381"/>
    <w:rsid w:val="000F4050"/>
    <w:rsid w:val="000F4AEA"/>
    <w:rsid w:val="000F67E9"/>
    <w:rsid w:val="001041F8"/>
    <w:rsid w:val="00104926"/>
    <w:rsid w:val="00113B1E"/>
    <w:rsid w:val="0011711C"/>
    <w:rsid w:val="001225EC"/>
    <w:rsid w:val="00124E4F"/>
    <w:rsid w:val="00125266"/>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47A7F"/>
    <w:rsid w:val="001529E5"/>
    <w:rsid w:val="00152FB3"/>
    <w:rsid w:val="00153C7E"/>
    <w:rsid w:val="00155135"/>
    <w:rsid w:val="00156B25"/>
    <w:rsid w:val="00156E1A"/>
    <w:rsid w:val="00157894"/>
    <w:rsid w:val="00157B55"/>
    <w:rsid w:val="00162723"/>
    <w:rsid w:val="001642FA"/>
    <w:rsid w:val="001649EB"/>
    <w:rsid w:val="00164BAF"/>
    <w:rsid w:val="00164FA8"/>
    <w:rsid w:val="00165065"/>
    <w:rsid w:val="001651C7"/>
    <w:rsid w:val="00165434"/>
    <w:rsid w:val="0016580B"/>
    <w:rsid w:val="00165F49"/>
    <w:rsid w:val="00166B88"/>
    <w:rsid w:val="0016770A"/>
    <w:rsid w:val="00170804"/>
    <w:rsid w:val="001708E9"/>
    <w:rsid w:val="0017340B"/>
    <w:rsid w:val="00173FB1"/>
    <w:rsid w:val="00176DFD"/>
    <w:rsid w:val="00184488"/>
    <w:rsid w:val="001852C9"/>
    <w:rsid w:val="00187A0B"/>
    <w:rsid w:val="00190087"/>
    <w:rsid w:val="001913C4"/>
    <w:rsid w:val="0019348F"/>
    <w:rsid w:val="00193A07"/>
    <w:rsid w:val="00194C95"/>
    <w:rsid w:val="00195C34"/>
    <w:rsid w:val="00196EF5"/>
    <w:rsid w:val="001A05A1"/>
    <w:rsid w:val="001A1A53"/>
    <w:rsid w:val="001A234A"/>
    <w:rsid w:val="001A4CF3"/>
    <w:rsid w:val="001A6696"/>
    <w:rsid w:val="001B06E8"/>
    <w:rsid w:val="001B71D0"/>
    <w:rsid w:val="001B71EE"/>
    <w:rsid w:val="001C04A8"/>
    <w:rsid w:val="001C2C03"/>
    <w:rsid w:val="001C42F7"/>
    <w:rsid w:val="001C49E5"/>
    <w:rsid w:val="001C5B98"/>
    <w:rsid w:val="001C680C"/>
    <w:rsid w:val="001C7FEA"/>
    <w:rsid w:val="001D0499"/>
    <w:rsid w:val="001D0BBE"/>
    <w:rsid w:val="001D0ED4"/>
    <w:rsid w:val="001D212F"/>
    <w:rsid w:val="001D29D7"/>
    <w:rsid w:val="001D2DE7"/>
    <w:rsid w:val="001D411C"/>
    <w:rsid w:val="001E1B6A"/>
    <w:rsid w:val="001E2484"/>
    <w:rsid w:val="001E3CC4"/>
    <w:rsid w:val="001E4882"/>
    <w:rsid w:val="001E6EAD"/>
    <w:rsid w:val="001E73AB"/>
    <w:rsid w:val="001F092D"/>
    <w:rsid w:val="001F143A"/>
    <w:rsid w:val="001F1605"/>
    <w:rsid w:val="001F2508"/>
    <w:rsid w:val="001F27E1"/>
    <w:rsid w:val="001F4816"/>
    <w:rsid w:val="001F5068"/>
    <w:rsid w:val="001F69B4"/>
    <w:rsid w:val="001F77C7"/>
    <w:rsid w:val="00200183"/>
    <w:rsid w:val="00200333"/>
    <w:rsid w:val="0020107D"/>
    <w:rsid w:val="00202AA4"/>
    <w:rsid w:val="002031F7"/>
    <w:rsid w:val="002040E6"/>
    <w:rsid w:val="0020527B"/>
    <w:rsid w:val="00205F2C"/>
    <w:rsid w:val="00210B15"/>
    <w:rsid w:val="00212EF7"/>
    <w:rsid w:val="002142EA"/>
    <w:rsid w:val="00215ADD"/>
    <w:rsid w:val="002204BB"/>
    <w:rsid w:val="00221B79"/>
    <w:rsid w:val="00221C6B"/>
    <w:rsid w:val="00224EB4"/>
    <w:rsid w:val="002253A1"/>
    <w:rsid w:val="00225CF8"/>
    <w:rsid w:val="0022794E"/>
    <w:rsid w:val="00233D64"/>
    <w:rsid w:val="0023482A"/>
    <w:rsid w:val="002359CB"/>
    <w:rsid w:val="00237100"/>
    <w:rsid w:val="002416CF"/>
    <w:rsid w:val="00243540"/>
    <w:rsid w:val="00244908"/>
    <w:rsid w:val="0024497B"/>
    <w:rsid w:val="00244AF9"/>
    <w:rsid w:val="0024515B"/>
    <w:rsid w:val="00246021"/>
    <w:rsid w:val="0024666E"/>
    <w:rsid w:val="00247F52"/>
    <w:rsid w:val="00250B25"/>
    <w:rsid w:val="00250BBE"/>
    <w:rsid w:val="002515C2"/>
    <w:rsid w:val="0025194F"/>
    <w:rsid w:val="00254376"/>
    <w:rsid w:val="0026148A"/>
    <w:rsid w:val="00262696"/>
    <w:rsid w:val="00263D25"/>
    <w:rsid w:val="002643C3"/>
    <w:rsid w:val="00264A0C"/>
    <w:rsid w:val="00266EEB"/>
    <w:rsid w:val="00267EF4"/>
    <w:rsid w:val="0027052C"/>
    <w:rsid w:val="00270CB8"/>
    <w:rsid w:val="00272B08"/>
    <w:rsid w:val="00281BB8"/>
    <w:rsid w:val="00281E9E"/>
    <w:rsid w:val="00282405"/>
    <w:rsid w:val="00282A82"/>
    <w:rsid w:val="00285170"/>
    <w:rsid w:val="00285361"/>
    <w:rsid w:val="00292D60"/>
    <w:rsid w:val="00293B30"/>
    <w:rsid w:val="0029441B"/>
    <w:rsid w:val="00294D34"/>
    <w:rsid w:val="00294E3B"/>
    <w:rsid w:val="00296193"/>
    <w:rsid w:val="00296C66"/>
    <w:rsid w:val="00296EBE"/>
    <w:rsid w:val="002974E3"/>
    <w:rsid w:val="002A084B"/>
    <w:rsid w:val="002A1260"/>
    <w:rsid w:val="002A1589"/>
    <w:rsid w:val="002A1608"/>
    <w:rsid w:val="002A25DC"/>
    <w:rsid w:val="002A2642"/>
    <w:rsid w:val="002A34A3"/>
    <w:rsid w:val="002A3AAB"/>
    <w:rsid w:val="002A3E1B"/>
    <w:rsid w:val="002A4CEA"/>
    <w:rsid w:val="002A516B"/>
    <w:rsid w:val="002A5977"/>
    <w:rsid w:val="002A5A13"/>
    <w:rsid w:val="002A757F"/>
    <w:rsid w:val="002A7F44"/>
    <w:rsid w:val="002B0C40"/>
    <w:rsid w:val="002B1966"/>
    <w:rsid w:val="002B4508"/>
    <w:rsid w:val="002B5779"/>
    <w:rsid w:val="002B7332"/>
    <w:rsid w:val="002B7F51"/>
    <w:rsid w:val="002C001A"/>
    <w:rsid w:val="002C09E7"/>
    <w:rsid w:val="002C1E06"/>
    <w:rsid w:val="002C3F07"/>
    <w:rsid w:val="002C5278"/>
    <w:rsid w:val="002C7EBB"/>
    <w:rsid w:val="002D0294"/>
    <w:rsid w:val="002D06C1"/>
    <w:rsid w:val="002D42B5"/>
    <w:rsid w:val="002D4F1A"/>
    <w:rsid w:val="002D6EC6"/>
    <w:rsid w:val="002D79AC"/>
    <w:rsid w:val="002E039D"/>
    <w:rsid w:val="002E4D5A"/>
    <w:rsid w:val="002E62A4"/>
    <w:rsid w:val="002E6326"/>
    <w:rsid w:val="002F2706"/>
    <w:rsid w:val="002F30E0"/>
    <w:rsid w:val="002F35E4"/>
    <w:rsid w:val="002F3730"/>
    <w:rsid w:val="002F38E1"/>
    <w:rsid w:val="002F7AF6"/>
    <w:rsid w:val="00300E63"/>
    <w:rsid w:val="00302F5F"/>
    <w:rsid w:val="0030441D"/>
    <w:rsid w:val="00306063"/>
    <w:rsid w:val="0030774D"/>
    <w:rsid w:val="00313B85"/>
    <w:rsid w:val="00314661"/>
    <w:rsid w:val="00315A51"/>
    <w:rsid w:val="00317988"/>
    <w:rsid w:val="003221B4"/>
    <w:rsid w:val="0032258D"/>
    <w:rsid w:val="00322E62"/>
    <w:rsid w:val="00324D13"/>
    <w:rsid w:val="00324EDD"/>
    <w:rsid w:val="003331E4"/>
    <w:rsid w:val="00334F5C"/>
    <w:rsid w:val="00336C64"/>
    <w:rsid w:val="00337162"/>
    <w:rsid w:val="0034194F"/>
    <w:rsid w:val="003430DD"/>
    <w:rsid w:val="00344605"/>
    <w:rsid w:val="003474AA"/>
    <w:rsid w:val="00350D1D"/>
    <w:rsid w:val="00352C83"/>
    <w:rsid w:val="00352F1A"/>
    <w:rsid w:val="0035443E"/>
    <w:rsid w:val="003567C2"/>
    <w:rsid w:val="00357F16"/>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16A"/>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7FE"/>
    <w:rsid w:val="003B09AD"/>
    <w:rsid w:val="003B1F18"/>
    <w:rsid w:val="003B5BF0"/>
    <w:rsid w:val="003B60BF"/>
    <w:rsid w:val="003B6BE3"/>
    <w:rsid w:val="003C010C"/>
    <w:rsid w:val="003C02FD"/>
    <w:rsid w:val="003C0A6C"/>
    <w:rsid w:val="003C14F8"/>
    <w:rsid w:val="003C5A43"/>
    <w:rsid w:val="003D00B6"/>
    <w:rsid w:val="003D0519"/>
    <w:rsid w:val="003D0FF6"/>
    <w:rsid w:val="003D262C"/>
    <w:rsid w:val="003D493F"/>
    <w:rsid w:val="003D6D61"/>
    <w:rsid w:val="003E019F"/>
    <w:rsid w:val="003E091D"/>
    <w:rsid w:val="003E1C53"/>
    <w:rsid w:val="003E2A69"/>
    <w:rsid w:val="003E2D49"/>
    <w:rsid w:val="003E2FD4"/>
    <w:rsid w:val="003E4050"/>
    <w:rsid w:val="003E49F6"/>
    <w:rsid w:val="003E660F"/>
    <w:rsid w:val="003F0841"/>
    <w:rsid w:val="003F23D3"/>
    <w:rsid w:val="003F3F08"/>
    <w:rsid w:val="003F49F1"/>
    <w:rsid w:val="003F6272"/>
    <w:rsid w:val="00400E72"/>
    <w:rsid w:val="00401400"/>
    <w:rsid w:val="004021AA"/>
    <w:rsid w:val="00404869"/>
    <w:rsid w:val="00405884"/>
    <w:rsid w:val="00407D39"/>
    <w:rsid w:val="0041477A"/>
    <w:rsid w:val="004155D0"/>
    <w:rsid w:val="004167A3"/>
    <w:rsid w:val="004213E1"/>
    <w:rsid w:val="00424B7C"/>
    <w:rsid w:val="00425361"/>
    <w:rsid w:val="00432DAA"/>
    <w:rsid w:val="00434305"/>
    <w:rsid w:val="00435DF7"/>
    <w:rsid w:val="0043741A"/>
    <w:rsid w:val="0044083F"/>
    <w:rsid w:val="00441AE7"/>
    <w:rsid w:val="00445574"/>
    <w:rsid w:val="004467FB"/>
    <w:rsid w:val="00452D6B"/>
    <w:rsid w:val="00454484"/>
    <w:rsid w:val="0045517B"/>
    <w:rsid w:val="00457E62"/>
    <w:rsid w:val="00463B77"/>
    <w:rsid w:val="00463C7B"/>
    <w:rsid w:val="004644A6"/>
    <w:rsid w:val="004659BD"/>
    <w:rsid w:val="00470775"/>
    <w:rsid w:val="004746B1"/>
    <w:rsid w:val="00475370"/>
    <w:rsid w:val="0047583F"/>
    <w:rsid w:val="00475DE8"/>
    <w:rsid w:val="00481C44"/>
    <w:rsid w:val="00484936"/>
    <w:rsid w:val="00485C89"/>
    <w:rsid w:val="00486BE3"/>
    <w:rsid w:val="004902E4"/>
    <w:rsid w:val="004905E4"/>
    <w:rsid w:val="00490A89"/>
    <w:rsid w:val="00490AB4"/>
    <w:rsid w:val="00492F02"/>
    <w:rsid w:val="004939AE"/>
    <w:rsid w:val="00495F1D"/>
    <w:rsid w:val="004A12DF"/>
    <w:rsid w:val="004A1BA8"/>
    <w:rsid w:val="004A4B57"/>
    <w:rsid w:val="004A63FA"/>
    <w:rsid w:val="004A6A3D"/>
    <w:rsid w:val="004B0272"/>
    <w:rsid w:val="004B2701"/>
    <w:rsid w:val="004B2E1B"/>
    <w:rsid w:val="004B3AA8"/>
    <w:rsid w:val="004B3E93"/>
    <w:rsid w:val="004C1FBC"/>
    <w:rsid w:val="004C25A2"/>
    <w:rsid w:val="004C3C3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52A0"/>
    <w:rsid w:val="004F6456"/>
    <w:rsid w:val="004F696E"/>
    <w:rsid w:val="004F6C71"/>
    <w:rsid w:val="00501139"/>
    <w:rsid w:val="0050363E"/>
    <w:rsid w:val="005039BC"/>
    <w:rsid w:val="005043BB"/>
    <w:rsid w:val="00504A3D"/>
    <w:rsid w:val="00505767"/>
    <w:rsid w:val="005073F0"/>
    <w:rsid w:val="00510A7B"/>
    <w:rsid w:val="00511095"/>
    <w:rsid w:val="00512F6E"/>
    <w:rsid w:val="00513038"/>
    <w:rsid w:val="00514174"/>
    <w:rsid w:val="00516088"/>
    <w:rsid w:val="00516B0B"/>
    <w:rsid w:val="00517B55"/>
    <w:rsid w:val="0052113E"/>
    <w:rsid w:val="005220EC"/>
    <w:rsid w:val="00523F95"/>
    <w:rsid w:val="00524D65"/>
    <w:rsid w:val="00525B16"/>
    <w:rsid w:val="00533D04"/>
    <w:rsid w:val="005345F7"/>
    <w:rsid w:val="00534804"/>
    <w:rsid w:val="00534BDF"/>
    <w:rsid w:val="005354EA"/>
    <w:rsid w:val="0053585F"/>
    <w:rsid w:val="00535EC4"/>
    <w:rsid w:val="00535ED9"/>
    <w:rsid w:val="0053692B"/>
    <w:rsid w:val="00536AE1"/>
    <w:rsid w:val="00541853"/>
    <w:rsid w:val="00543BDA"/>
    <w:rsid w:val="005441CC"/>
    <w:rsid w:val="005479DA"/>
    <w:rsid w:val="00547BCC"/>
    <w:rsid w:val="0055013B"/>
    <w:rsid w:val="00551379"/>
    <w:rsid w:val="00551F6F"/>
    <w:rsid w:val="00555044"/>
    <w:rsid w:val="00561475"/>
    <w:rsid w:val="00562308"/>
    <w:rsid w:val="0056487B"/>
    <w:rsid w:val="00564FB9"/>
    <w:rsid w:val="00570EC5"/>
    <w:rsid w:val="005724F6"/>
    <w:rsid w:val="00573D9E"/>
    <w:rsid w:val="005801E3"/>
    <w:rsid w:val="00581802"/>
    <w:rsid w:val="005836A8"/>
    <w:rsid w:val="0058409C"/>
    <w:rsid w:val="00584262"/>
    <w:rsid w:val="00586630"/>
    <w:rsid w:val="00587ADD"/>
    <w:rsid w:val="0059351A"/>
    <w:rsid w:val="00593A49"/>
    <w:rsid w:val="00596160"/>
    <w:rsid w:val="005966E2"/>
    <w:rsid w:val="00597007"/>
    <w:rsid w:val="005A0966"/>
    <w:rsid w:val="005A11B7"/>
    <w:rsid w:val="005A260B"/>
    <w:rsid w:val="005A4A1B"/>
    <w:rsid w:val="005A71B2"/>
    <w:rsid w:val="005A7830"/>
    <w:rsid w:val="005A7FCE"/>
    <w:rsid w:val="005B0F3F"/>
    <w:rsid w:val="005B191C"/>
    <w:rsid w:val="005B4903"/>
    <w:rsid w:val="005B51CE"/>
    <w:rsid w:val="005B5885"/>
    <w:rsid w:val="005B5CD7"/>
    <w:rsid w:val="005B6CF6"/>
    <w:rsid w:val="005B7422"/>
    <w:rsid w:val="005B7AB2"/>
    <w:rsid w:val="005C29B8"/>
    <w:rsid w:val="005C5F21"/>
    <w:rsid w:val="005C60DB"/>
    <w:rsid w:val="005C7156"/>
    <w:rsid w:val="005D0C75"/>
    <w:rsid w:val="005D4171"/>
    <w:rsid w:val="005D6A95"/>
    <w:rsid w:val="005D6B2C"/>
    <w:rsid w:val="005D6D9C"/>
    <w:rsid w:val="005D7B4A"/>
    <w:rsid w:val="005E0061"/>
    <w:rsid w:val="005E2335"/>
    <w:rsid w:val="005E34CA"/>
    <w:rsid w:val="005E3C18"/>
    <w:rsid w:val="005E4250"/>
    <w:rsid w:val="005E6812"/>
    <w:rsid w:val="005E7881"/>
    <w:rsid w:val="005E78E0"/>
    <w:rsid w:val="005F087A"/>
    <w:rsid w:val="005F0D9C"/>
    <w:rsid w:val="005F284E"/>
    <w:rsid w:val="005F2A73"/>
    <w:rsid w:val="006015CE"/>
    <w:rsid w:val="00604784"/>
    <w:rsid w:val="00606419"/>
    <w:rsid w:val="00607D29"/>
    <w:rsid w:val="00610F2D"/>
    <w:rsid w:val="00612952"/>
    <w:rsid w:val="00614CC1"/>
    <w:rsid w:val="00615A9D"/>
    <w:rsid w:val="00617387"/>
    <w:rsid w:val="006205D6"/>
    <w:rsid w:val="00621955"/>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EA1"/>
    <w:rsid w:val="00664F62"/>
    <w:rsid w:val="006655E1"/>
    <w:rsid w:val="00672060"/>
    <w:rsid w:val="00672BFD"/>
    <w:rsid w:val="00672F71"/>
    <w:rsid w:val="00674E0F"/>
    <w:rsid w:val="00676E21"/>
    <w:rsid w:val="006770F4"/>
    <w:rsid w:val="00677A84"/>
    <w:rsid w:val="0068026D"/>
    <w:rsid w:val="00680A27"/>
    <w:rsid w:val="006816A4"/>
    <w:rsid w:val="006819B8"/>
    <w:rsid w:val="006840A6"/>
    <w:rsid w:val="006850CD"/>
    <w:rsid w:val="00685AAB"/>
    <w:rsid w:val="00693962"/>
    <w:rsid w:val="006944ED"/>
    <w:rsid w:val="006A059D"/>
    <w:rsid w:val="006A07AA"/>
    <w:rsid w:val="006A25E5"/>
    <w:rsid w:val="006A2B46"/>
    <w:rsid w:val="006A336D"/>
    <w:rsid w:val="006A37B9"/>
    <w:rsid w:val="006A4448"/>
    <w:rsid w:val="006B2672"/>
    <w:rsid w:val="006B54BF"/>
    <w:rsid w:val="006B5F44"/>
    <w:rsid w:val="006B5F90"/>
    <w:rsid w:val="006B62E4"/>
    <w:rsid w:val="006C1BBA"/>
    <w:rsid w:val="006C2079"/>
    <w:rsid w:val="006C5A62"/>
    <w:rsid w:val="006C5D68"/>
    <w:rsid w:val="006C6976"/>
    <w:rsid w:val="006C6DD0"/>
    <w:rsid w:val="006D04EA"/>
    <w:rsid w:val="006D16C4"/>
    <w:rsid w:val="006D1C78"/>
    <w:rsid w:val="006D3E96"/>
    <w:rsid w:val="006D4515"/>
    <w:rsid w:val="006D4BB1"/>
    <w:rsid w:val="006D516A"/>
    <w:rsid w:val="006D5B00"/>
    <w:rsid w:val="006D6593"/>
    <w:rsid w:val="006F0373"/>
    <w:rsid w:val="006F03A8"/>
    <w:rsid w:val="006F2ACA"/>
    <w:rsid w:val="006F2ADC"/>
    <w:rsid w:val="006F2BFE"/>
    <w:rsid w:val="006F31E9"/>
    <w:rsid w:val="006F34DA"/>
    <w:rsid w:val="006F6284"/>
    <w:rsid w:val="007002C5"/>
    <w:rsid w:val="00700388"/>
    <w:rsid w:val="00703358"/>
    <w:rsid w:val="00704387"/>
    <w:rsid w:val="00707669"/>
    <w:rsid w:val="00711CBA"/>
    <w:rsid w:val="00711FB5"/>
    <w:rsid w:val="00712A01"/>
    <w:rsid w:val="00712DCB"/>
    <w:rsid w:val="00714F58"/>
    <w:rsid w:val="00717455"/>
    <w:rsid w:val="00722FBF"/>
    <w:rsid w:val="00722FC2"/>
    <w:rsid w:val="00724E1B"/>
    <w:rsid w:val="00725949"/>
    <w:rsid w:val="0072692F"/>
    <w:rsid w:val="00727FA2"/>
    <w:rsid w:val="007322D9"/>
    <w:rsid w:val="007328B8"/>
    <w:rsid w:val="00732BC0"/>
    <w:rsid w:val="0073720F"/>
    <w:rsid w:val="00737796"/>
    <w:rsid w:val="007408A1"/>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57B3"/>
    <w:rsid w:val="00776599"/>
    <w:rsid w:val="0078114B"/>
    <w:rsid w:val="00781DD2"/>
    <w:rsid w:val="00783ECF"/>
    <w:rsid w:val="0078413A"/>
    <w:rsid w:val="007959E8"/>
    <w:rsid w:val="00795E9C"/>
    <w:rsid w:val="00796FAD"/>
    <w:rsid w:val="007A0521"/>
    <w:rsid w:val="007A2E12"/>
    <w:rsid w:val="007A3475"/>
    <w:rsid w:val="007A41C8"/>
    <w:rsid w:val="007A54CE"/>
    <w:rsid w:val="007A5D3A"/>
    <w:rsid w:val="007A6FD9"/>
    <w:rsid w:val="007A7FFA"/>
    <w:rsid w:val="007B04EB"/>
    <w:rsid w:val="007B0D4F"/>
    <w:rsid w:val="007B24A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E5133"/>
    <w:rsid w:val="007F0ED8"/>
    <w:rsid w:val="007F0F63"/>
    <w:rsid w:val="007F398B"/>
    <w:rsid w:val="007F75CE"/>
    <w:rsid w:val="008013A4"/>
    <w:rsid w:val="008027CE"/>
    <w:rsid w:val="00802F42"/>
    <w:rsid w:val="00804383"/>
    <w:rsid w:val="00804BB7"/>
    <w:rsid w:val="00804D41"/>
    <w:rsid w:val="00804DF3"/>
    <w:rsid w:val="00810257"/>
    <w:rsid w:val="008104F5"/>
    <w:rsid w:val="00811072"/>
    <w:rsid w:val="00811369"/>
    <w:rsid w:val="00815419"/>
    <w:rsid w:val="008163C8"/>
    <w:rsid w:val="008164A1"/>
    <w:rsid w:val="00817325"/>
    <w:rsid w:val="008209E6"/>
    <w:rsid w:val="00821AA7"/>
    <w:rsid w:val="00821D19"/>
    <w:rsid w:val="00823303"/>
    <w:rsid w:val="008233B2"/>
    <w:rsid w:val="00823A9F"/>
    <w:rsid w:val="00823C85"/>
    <w:rsid w:val="00825138"/>
    <w:rsid w:val="008269DD"/>
    <w:rsid w:val="00830621"/>
    <w:rsid w:val="0083156D"/>
    <w:rsid w:val="0083348C"/>
    <w:rsid w:val="00835912"/>
    <w:rsid w:val="008373D3"/>
    <w:rsid w:val="00840617"/>
    <w:rsid w:val="00840F84"/>
    <w:rsid w:val="00842A47"/>
    <w:rsid w:val="00843C13"/>
    <w:rsid w:val="00843DEF"/>
    <w:rsid w:val="0084496E"/>
    <w:rsid w:val="008454F8"/>
    <w:rsid w:val="0085173A"/>
    <w:rsid w:val="008576C2"/>
    <w:rsid w:val="008603CE"/>
    <w:rsid w:val="008620FC"/>
    <w:rsid w:val="008627A5"/>
    <w:rsid w:val="00863E05"/>
    <w:rsid w:val="00865ACA"/>
    <w:rsid w:val="00865D28"/>
    <w:rsid w:val="00865F85"/>
    <w:rsid w:val="00867C10"/>
    <w:rsid w:val="00870439"/>
    <w:rsid w:val="00870DA1"/>
    <w:rsid w:val="00875DB0"/>
    <w:rsid w:val="00883F93"/>
    <w:rsid w:val="00884DB3"/>
    <w:rsid w:val="00884F49"/>
    <w:rsid w:val="00885A9D"/>
    <w:rsid w:val="00885C94"/>
    <w:rsid w:val="008864F6"/>
    <w:rsid w:val="0089049D"/>
    <w:rsid w:val="0089143E"/>
    <w:rsid w:val="008922AF"/>
    <w:rsid w:val="008928C9"/>
    <w:rsid w:val="008930CB"/>
    <w:rsid w:val="008938DC"/>
    <w:rsid w:val="00893FD1"/>
    <w:rsid w:val="00894836"/>
    <w:rsid w:val="00895172"/>
    <w:rsid w:val="00895680"/>
    <w:rsid w:val="00896DFF"/>
    <w:rsid w:val="0089762C"/>
    <w:rsid w:val="008A03DF"/>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0F85"/>
    <w:rsid w:val="008D2D1D"/>
    <w:rsid w:val="008D453D"/>
    <w:rsid w:val="008D53AD"/>
    <w:rsid w:val="008D562B"/>
    <w:rsid w:val="008D5733"/>
    <w:rsid w:val="008D622B"/>
    <w:rsid w:val="008D666C"/>
    <w:rsid w:val="008D7B54"/>
    <w:rsid w:val="008E0C9D"/>
    <w:rsid w:val="008E1648"/>
    <w:rsid w:val="008E1865"/>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2701"/>
    <w:rsid w:val="00913CA9"/>
    <w:rsid w:val="009145AE"/>
    <w:rsid w:val="009146CE"/>
    <w:rsid w:val="00914CA7"/>
    <w:rsid w:val="00915C3E"/>
    <w:rsid w:val="009161A8"/>
    <w:rsid w:val="0091721E"/>
    <w:rsid w:val="009245AE"/>
    <w:rsid w:val="009245F5"/>
    <w:rsid w:val="009249EC"/>
    <w:rsid w:val="009273B3"/>
    <w:rsid w:val="00927D2E"/>
    <w:rsid w:val="009305B5"/>
    <w:rsid w:val="00932AC9"/>
    <w:rsid w:val="009378DD"/>
    <w:rsid w:val="009429D5"/>
    <w:rsid w:val="00942BF1"/>
    <w:rsid w:val="00945180"/>
    <w:rsid w:val="00945428"/>
    <w:rsid w:val="0094607B"/>
    <w:rsid w:val="00953604"/>
    <w:rsid w:val="0095496B"/>
    <w:rsid w:val="00960F1E"/>
    <w:rsid w:val="009610DC"/>
    <w:rsid w:val="00961490"/>
    <w:rsid w:val="0096381A"/>
    <w:rsid w:val="00965377"/>
    <w:rsid w:val="00965E04"/>
    <w:rsid w:val="009674AD"/>
    <w:rsid w:val="00970CDC"/>
    <w:rsid w:val="00974F7F"/>
    <w:rsid w:val="00975727"/>
    <w:rsid w:val="00975B5B"/>
    <w:rsid w:val="00977010"/>
    <w:rsid w:val="00977D02"/>
    <w:rsid w:val="00977FF9"/>
    <w:rsid w:val="00980340"/>
    <w:rsid w:val="009809BB"/>
    <w:rsid w:val="00981624"/>
    <w:rsid w:val="009821CA"/>
    <w:rsid w:val="0098364B"/>
    <w:rsid w:val="009908A3"/>
    <w:rsid w:val="009911AF"/>
    <w:rsid w:val="00991875"/>
    <w:rsid w:val="00991F92"/>
    <w:rsid w:val="00992985"/>
    <w:rsid w:val="0099317D"/>
    <w:rsid w:val="00993889"/>
    <w:rsid w:val="0099551B"/>
    <w:rsid w:val="00996BD2"/>
    <w:rsid w:val="00997BF1"/>
    <w:rsid w:val="009A089C"/>
    <w:rsid w:val="009A118E"/>
    <w:rsid w:val="009A124E"/>
    <w:rsid w:val="009A21CD"/>
    <w:rsid w:val="009A278C"/>
    <w:rsid w:val="009A2BC2"/>
    <w:rsid w:val="009A34CF"/>
    <w:rsid w:val="009A42C1"/>
    <w:rsid w:val="009A5429"/>
    <w:rsid w:val="009A72AD"/>
    <w:rsid w:val="009B09E0"/>
    <w:rsid w:val="009B0BC5"/>
    <w:rsid w:val="009B1247"/>
    <w:rsid w:val="009B589D"/>
    <w:rsid w:val="009B5E38"/>
    <w:rsid w:val="009B6029"/>
    <w:rsid w:val="009B6971"/>
    <w:rsid w:val="009C27F1"/>
    <w:rsid w:val="009C3152"/>
    <w:rsid w:val="009C3257"/>
    <w:rsid w:val="009C49A8"/>
    <w:rsid w:val="009C4CFA"/>
    <w:rsid w:val="009C5070"/>
    <w:rsid w:val="009C6D9D"/>
    <w:rsid w:val="009D112C"/>
    <w:rsid w:val="009D1142"/>
    <w:rsid w:val="009D1385"/>
    <w:rsid w:val="009D47FA"/>
    <w:rsid w:val="009D4C5B"/>
    <w:rsid w:val="009D50D2"/>
    <w:rsid w:val="009D6BCA"/>
    <w:rsid w:val="009E0F62"/>
    <w:rsid w:val="009E226B"/>
    <w:rsid w:val="009E4A58"/>
    <w:rsid w:val="009E5A2D"/>
    <w:rsid w:val="009E5AB2"/>
    <w:rsid w:val="009E6219"/>
    <w:rsid w:val="009E665D"/>
    <w:rsid w:val="009E67B7"/>
    <w:rsid w:val="009F03B3"/>
    <w:rsid w:val="009F14CD"/>
    <w:rsid w:val="009F6D7C"/>
    <w:rsid w:val="009F733E"/>
    <w:rsid w:val="00A0096C"/>
    <w:rsid w:val="00A01757"/>
    <w:rsid w:val="00A028C0"/>
    <w:rsid w:val="00A02BAE"/>
    <w:rsid w:val="00A06A6B"/>
    <w:rsid w:val="00A07E47"/>
    <w:rsid w:val="00A12557"/>
    <w:rsid w:val="00A129D0"/>
    <w:rsid w:val="00A12C33"/>
    <w:rsid w:val="00A138BA"/>
    <w:rsid w:val="00A14C8E"/>
    <w:rsid w:val="00A153D9"/>
    <w:rsid w:val="00A15F09"/>
    <w:rsid w:val="00A169B6"/>
    <w:rsid w:val="00A2271D"/>
    <w:rsid w:val="00A237D5"/>
    <w:rsid w:val="00A240F0"/>
    <w:rsid w:val="00A30EFC"/>
    <w:rsid w:val="00A31984"/>
    <w:rsid w:val="00A32D73"/>
    <w:rsid w:val="00A3367B"/>
    <w:rsid w:val="00A33C67"/>
    <w:rsid w:val="00A35526"/>
    <w:rsid w:val="00A3597D"/>
    <w:rsid w:val="00A36DD1"/>
    <w:rsid w:val="00A4006C"/>
    <w:rsid w:val="00A40091"/>
    <w:rsid w:val="00A4030F"/>
    <w:rsid w:val="00A411EF"/>
    <w:rsid w:val="00A41C79"/>
    <w:rsid w:val="00A41CB5"/>
    <w:rsid w:val="00A42CDF"/>
    <w:rsid w:val="00A4452E"/>
    <w:rsid w:val="00A4472C"/>
    <w:rsid w:val="00A44E69"/>
    <w:rsid w:val="00A4661E"/>
    <w:rsid w:val="00A53B29"/>
    <w:rsid w:val="00A55BD6"/>
    <w:rsid w:val="00A55D50"/>
    <w:rsid w:val="00A57142"/>
    <w:rsid w:val="00A648CD"/>
    <w:rsid w:val="00A64A2C"/>
    <w:rsid w:val="00A6537A"/>
    <w:rsid w:val="00A67866"/>
    <w:rsid w:val="00A70B07"/>
    <w:rsid w:val="00A723F8"/>
    <w:rsid w:val="00A77CCB"/>
    <w:rsid w:val="00A82376"/>
    <w:rsid w:val="00A83D8D"/>
    <w:rsid w:val="00A8446B"/>
    <w:rsid w:val="00A8473F"/>
    <w:rsid w:val="00A862D6"/>
    <w:rsid w:val="00A8715E"/>
    <w:rsid w:val="00A9295B"/>
    <w:rsid w:val="00A93B09"/>
    <w:rsid w:val="00A952D7"/>
    <w:rsid w:val="00A963F7"/>
    <w:rsid w:val="00A96AD8"/>
    <w:rsid w:val="00AA0405"/>
    <w:rsid w:val="00AA052C"/>
    <w:rsid w:val="00AA1E45"/>
    <w:rsid w:val="00AA4286"/>
    <w:rsid w:val="00AA456B"/>
    <w:rsid w:val="00AA57F5"/>
    <w:rsid w:val="00AA672E"/>
    <w:rsid w:val="00AA6EC9"/>
    <w:rsid w:val="00AB45CF"/>
    <w:rsid w:val="00AB57C2"/>
    <w:rsid w:val="00AB6309"/>
    <w:rsid w:val="00AB693B"/>
    <w:rsid w:val="00AB6C5F"/>
    <w:rsid w:val="00AB7129"/>
    <w:rsid w:val="00AC27A6"/>
    <w:rsid w:val="00AC30F7"/>
    <w:rsid w:val="00AC3A5A"/>
    <w:rsid w:val="00AC4D95"/>
    <w:rsid w:val="00AC5DF4"/>
    <w:rsid w:val="00AC72C4"/>
    <w:rsid w:val="00AC77B0"/>
    <w:rsid w:val="00AD0ABF"/>
    <w:rsid w:val="00AD0AEF"/>
    <w:rsid w:val="00AD0B03"/>
    <w:rsid w:val="00AD11B7"/>
    <w:rsid w:val="00AD1627"/>
    <w:rsid w:val="00AD1A94"/>
    <w:rsid w:val="00AD1BFD"/>
    <w:rsid w:val="00AD1C05"/>
    <w:rsid w:val="00AD4126"/>
    <w:rsid w:val="00AD421C"/>
    <w:rsid w:val="00AD44FA"/>
    <w:rsid w:val="00AD4C83"/>
    <w:rsid w:val="00AE070A"/>
    <w:rsid w:val="00AE101C"/>
    <w:rsid w:val="00AE2A69"/>
    <w:rsid w:val="00AE37E5"/>
    <w:rsid w:val="00AE3A37"/>
    <w:rsid w:val="00AE5EB4"/>
    <w:rsid w:val="00AF0C18"/>
    <w:rsid w:val="00AF47C5"/>
    <w:rsid w:val="00AF5398"/>
    <w:rsid w:val="00B049AF"/>
    <w:rsid w:val="00B07242"/>
    <w:rsid w:val="00B10534"/>
    <w:rsid w:val="00B113DB"/>
    <w:rsid w:val="00B11D8A"/>
    <w:rsid w:val="00B12981"/>
    <w:rsid w:val="00B147DD"/>
    <w:rsid w:val="00B156FD"/>
    <w:rsid w:val="00B21F61"/>
    <w:rsid w:val="00B2566A"/>
    <w:rsid w:val="00B261F1"/>
    <w:rsid w:val="00B265BC"/>
    <w:rsid w:val="00B31FB1"/>
    <w:rsid w:val="00B33952"/>
    <w:rsid w:val="00B33C5E"/>
    <w:rsid w:val="00B342F4"/>
    <w:rsid w:val="00B34369"/>
    <w:rsid w:val="00B34DC2"/>
    <w:rsid w:val="00B378E5"/>
    <w:rsid w:val="00B41653"/>
    <w:rsid w:val="00B4346D"/>
    <w:rsid w:val="00B440F4"/>
    <w:rsid w:val="00B447A5"/>
    <w:rsid w:val="00B4654C"/>
    <w:rsid w:val="00B47293"/>
    <w:rsid w:val="00B5068A"/>
    <w:rsid w:val="00B50E50"/>
    <w:rsid w:val="00B52120"/>
    <w:rsid w:val="00B537C9"/>
    <w:rsid w:val="00B54ABC"/>
    <w:rsid w:val="00B566B0"/>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17E9"/>
    <w:rsid w:val="00B939B1"/>
    <w:rsid w:val="00B96D40"/>
    <w:rsid w:val="00B97386"/>
    <w:rsid w:val="00B97B5B"/>
    <w:rsid w:val="00BA263B"/>
    <w:rsid w:val="00BA3249"/>
    <w:rsid w:val="00BA42B2"/>
    <w:rsid w:val="00BA58D4"/>
    <w:rsid w:val="00BA5B9E"/>
    <w:rsid w:val="00BA7C9A"/>
    <w:rsid w:val="00BB5F8F"/>
    <w:rsid w:val="00BB657A"/>
    <w:rsid w:val="00BC1A4E"/>
    <w:rsid w:val="00BC5DC7"/>
    <w:rsid w:val="00BC6B8B"/>
    <w:rsid w:val="00BC73D8"/>
    <w:rsid w:val="00BD52D7"/>
    <w:rsid w:val="00BD5AD2"/>
    <w:rsid w:val="00BD7F1C"/>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168C5"/>
    <w:rsid w:val="00C21540"/>
    <w:rsid w:val="00C21906"/>
    <w:rsid w:val="00C21BFA"/>
    <w:rsid w:val="00C229E0"/>
    <w:rsid w:val="00C24C8D"/>
    <w:rsid w:val="00C25FE2"/>
    <w:rsid w:val="00C26B53"/>
    <w:rsid w:val="00C2708A"/>
    <w:rsid w:val="00C273AB"/>
    <w:rsid w:val="00C279B2"/>
    <w:rsid w:val="00C33E50"/>
    <w:rsid w:val="00C34C20"/>
    <w:rsid w:val="00C35A3E"/>
    <w:rsid w:val="00C42130"/>
    <w:rsid w:val="00C423A4"/>
    <w:rsid w:val="00C423E3"/>
    <w:rsid w:val="00C439B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2C1"/>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2EC1"/>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E5B68"/>
    <w:rsid w:val="00CF048A"/>
    <w:rsid w:val="00CF155A"/>
    <w:rsid w:val="00CF2947"/>
    <w:rsid w:val="00CF686F"/>
    <w:rsid w:val="00CF6E60"/>
    <w:rsid w:val="00CF7BCA"/>
    <w:rsid w:val="00D008FD"/>
    <w:rsid w:val="00D0321C"/>
    <w:rsid w:val="00D035EC"/>
    <w:rsid w:val="00D06AB1"/>
    <w:rsid w:val="00D06FC1"/>
    <w:rsid w:val="00D072ED"/>
    <w:rsid w:val="00D07436"/>
    <w:rsid w:val="00D07A16"/>
    <w:rsid w:val="00D1067E"/>
    <w:rsid w:val="00D10F50"/>
    <w:rsid w:val="00D11272"/>
    <w:rsid w:val="00D126F5"/>
    <w:rsid w:val="00D1489E"/>
    <w:rsid w:val="00D20737"/>
    <w:rsid w:val="00D21E81"/>
    <w:rsid w:val="00D223DE"/>
    <w:rsid w:val="00D23851"/>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1CC1"/>
    <w:rsid w:val="00D66846"/>
    <w:rsid w:val="00D675FB"/>
    <w:rsid w:val="00D7113A"/>
    <w:rsid w:val="00D71F25"/>
    <w:rsid w:val="00D72A9C"/>
    <w:rsid w:val="00D7340F"/>
    <w:rsid w:val="00D77031"/>
    <w:rsid w:val="00D84941"/>
    <w:rsid w:val="00D84FA1"/>
    <w:rsid w:val="00D851F0"/>
    <w:rsid w:val="00D85FD5"/>
    <w:rsid w:val="00D86DB7"/>
    <w:rsid w:val="00D87BF5"/>
    <w:rsid w:val="00D90721"/>
    <w:rsid w:val="00D926D0"/>
    <w:rsid w:val="00D93030"/>
    <w:rsid w:val="00D950E1"/>
    <w:rsid w:val="00D952A6"/>
    <w:rsid w:val="00D96E4A"/>
    <w:rsid w:val="00D97F99"/>
    <w:rsid w:val="00DA1E08"/>
    <w:rsid w:val="00DA24F8"/>
    <w:rsid w:val="00DA28E8"/>
    <w:rsid w:val="00DA38D3"/>
    <w:rsid w:val="00DA3932"/>
    <w:rsid w:val="00DA3AFC"/>
    <w:rsid w:val="00DA64F8"/>
    <w:rsid w:val="00DA6C15"/>
    <w:rsid w:val="00DB0258"/>
    <w:rsid w:val="00DB3467"/>
    <w:rsid w:val="00DB38EE"/>
    <w:rsid w:val="00DB498B"/>
    <w:rsid w:val="00DB66CA"/>
    <w:rsid w:val="00DB6BCA"/>
    <w:rsid w:val="00DB6F54"/>
    <w:rsid w:val="00DB73F7"/>
    <w:rsid w:val="00DB778A"/>
    <w:rsid w:val="00DC0321"/>
    <w:rsid w:val="00DC1204"/>
    <w:rsid w:val="00DC2359"/>
    <w:rsid w:val="00DC3067"/>
    <w:rsid w:val="00DC370B"/>
    <w:rsid w:val="00DC5B90"/>
    <w:rsid w:val="00DD00FF"/>
    <w:rsid w:val="00DD0619"/>
    <w:rsid w:val="00DD07FB"/>
    <w:rsid w:val="00DD104D"/>
    <w:rsid w:val="00DD25C6"/>
    <w:rsid w:val="00DD4FE5"/>
    <w:rsid w:val="00DD54B0"/>
    <w:rsid w:val="00DD57EE"/>
    <w:rsid w:val="00DD6BCC"/>
    <w:rsid w:val="00DE0A4B"/>
    <w:rsid w:val="00DE2410"/>
    <w:rsid w:val="00DE2939"/>
    <w:rsid w:val="00DE6E81"/>
    <w:rsid w:val="00DE703F"/>
    <w:rsid w:val="00DE73DB"/>
    <w:rsid w:val="00DE7595"/>
    <w:rsid w:val="00DF1961"/>
    <w:rsid w:val="00DF44DE"/>
    <w:rsid w:val="00E01138"/>
    <w:rsid w:val="00E01FFA"/>
    <w:rsid w:val="00E02DFB"/>
    <w:rsid w:val="00E030F9"/>
    <w:rsid w:val="00E0311A"/>
    <w:rsid w:val="00E03138"/>
    <w:rsid w:val="00E06404"/>
    <w:rsid w:val="00E11A85"/>
    <w:rsid w:val="00E12495"/>
    <w:rsid w:val="00E13E69"/>
    <w:rsid w:val="00E15CCD"/>
    <w:rsid w:val="00E202EF"/>
    <w:rsid w:val="00E210B5"/>
    <w:rsid w:val="00E227C9"/>
    <w:rsid w:val="00E227D4"/>
    <w:rsid w:val="00E249C3"/>
    <w:rsid w:val="00E2552F"/>
    <w:rsid w:val="00E3137A"/>
    <w:rsid w:val="00E31437"/>
    <w:rsid w:val="00E32CCF"/>
    <w:rsid w:val="00E34A98"/>
    <w:rsid w:val="00E35D1E"/>
    <w:rsid w:val="00E364F9"/>
    <w:rsid w:val="00E365FA"/>
    <w:rsid w:val="00E36789"/>
    <w:rsid w:val="00E4332E"/>
    <w:rsid w:val="00E43667"/>
    <w:rsid w:val="00E44A83"/>
    <w:rsid w:val="00E502C1"/>
    <w:rsid w:val="00E502DD"/>
    <w:rsid w:val="00E50D3A"/>
    <w:rsid w:val="00E51387"/>
    <w:rsid w:val="00E51E68"/>
    <w:rsid w:val="00E52EFD"/>
    <w:rsid w:val="00E5408A"/>
    <w:rsid w:val="00E56800"/>
    <w:rsid w:val="00E60478"/>
    <w:rsid w:val="00E60C63"/>
    <w:rsid w:val="00E62FF9"/>
    <w:rsid w:val="00E635D6"/>
    <w:rsid w:val="00E639BC"/>
    <w:rsid w:val="00E664CC"/>
    <w:rsid w:val="00E70388"/>
    <w:rsid w:val="00E7081E"/>
    <w:rsid w:val="00E70F92"/>
    <w:rsid w:val="00E74313"/>
    <w:rsid w:val="00E74C54"/>
    <w:rsid w:val="00E74CFA"/>
    <w:rsid w:val="00E77A03"/>
    <w:rsid w:val="00E822E8"/>
    <w:rsid w:val="00E82554"/>
    <w:rsid w:val="00E82606"/>
    <w:rsid w:val="00E831C1"/>
    <w:rsid w:val="00E846C8"/>
    <w:rsid w:val="00E84957"/>
    <w:rsid w:val="00E84A55"/>
    <w:rsid w:val="00E85BFF"/>
    <w:rsid w:val="00E900F9"/>
    <w:rsid w:val="00E90391"/>
    <w:rsid w:val="00E906C2"/>
    <w:rsid w:val="00E9311F"/>
    <w:rsid w:val="00E9333F"/>
    <w:rsid w:val="00E934D1"/>
    <w:rsid w:val="00E94AF0"/>
    <w:rsid w:val="00E95D13"/>
    <w:rsid w:val="00E95DD3"/>
    <w:rsid w:val="00E96853"/>
    <w:rsid w:val="00E969D5"/>
    <w:rsid w:val="00EA58D1"/>
    <w:rsid w:val="00EA61BC"/>
    <w:rsid w:val="00EA681A"/>
    <w:rsid w:val="00EA735B"/>
    <w:rsid w:val="00EB1E69"/>
    <w:rsid w:val="00EB1F2A"/>
    <w:rsid w:val="00EB2086"/>
    <w:rsid w:val="00EB31ED"/>
    <w:rsid w:val="00EB5EDF"/>
    <w:rsid w:val="00EB60FE"/>
    <w:rsid w:val="00EB74DB"/>
    <w:rsid w:val="00EC34D6"/>
    <w:rsid w:val="00EC5359"/>
    <w:rsid w:val="00EC562A"/>
    <w:rsid w:val="00ED067A"/>
    <w:rsid w:val="00ED2B50"/>
    <w:rsid w:val="00EE0350"/>
    <w:rsid w:val="00EE0719"/>
    <w:rsid w:val="00EE0E80"/>
    <w:rsid w:val="00EE613F"/>
    <w:rsid w:val="00EE7295"/>
    <w:rsid w:val="00EE7869"/>
    <w:rsid w:val="00EF054A"/>
    <w:rsid w:val="00EF3235"/>
    <w:rsid w:val="00EF3899"/>
    <w:rsid w:val="00EF47C8"/>
    <w:rsid w:val="00EF7E72"/>
    <w:rsid w:val="00F06D37"/>
    <w:rsid w:val="00F07B9D"/>
    <w:rsid w:val="00F100B1"/>
    <w:rsid w:val="00F11586"/>
    <w:rsid w:val="00F1183B"/>
    <w:rsid w:val="00F11C9F"/>
    <w:rsid w:val="00F12263"/>
    <w:rsid w:val="00F1409D"/>
    <w:rsid w:val="00F14214"/>
    <w:rsid w:val="00F157A9"/>
    <w:rsid w:val="00F16F00"/>
    <w:rsid w:val="00F25BB6"/>
    <w:rsid w:val="00F26B7E"/>
    <w:rsid w:val="00F27A3B"/>
    <w:rsid w:val="00F32780"/>
    <w:rsid w:val="00F336B8"/>
    <w:rsid w:val="00F33817"/>
    <w:rsid w:val="00F3726C"/>
    <w:rsid w:val="00F420D5"/>
    <w:rsid w:val="00F451EA"/>
    <w:rsid w:val="00F45447"/>
    <w:rsid w:val="00F456C6"/>
    <w:rsid w:val="00F4577B"/>
    <w:rsid w:val="00F46496"/>
    <w:rsid w:val="00F474D0"/>
    <w:rsid w:val="00F50179"/>
    <w:rsid w:val="00F515EE"/>
    <w:rsid w:val="00F51883"/>
    <w:rsid w:val="00F56511"/>
    <w:rsid w:val="00F6194E"/>
    <w:rsid w:val="00F623AC"/>
    <w:rsid w:val="00F62ED1"/>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6F1C"/>
    <w:rsid w:val="00FA73B1"/>
    <w:rsid w:val="00FB0CB9"/>
    <w:rsid w:val="00FB231D"/>
    <w:rsid w:val="00FB45F1"/>
    <w:rsid w:val="00FB4A72"/>
    <w:rsid w:val="00FB54E8"/>
    <w:rsid w:val="00FB7054"/>
    <w:rsid w:val="00FC1105"/>
    <w:rsid w:val="00FC17B7"/>
    <w:rsid w:val="00FC1A6C"/>
    <w:rsid w:val="00FC2CB7"/>
    <w:rsid w:val="00FC4090"/>
    <w:rsid w:val="00FC55B4"/>
    <w:rsid w:val="00FD00E6"/>
    <w:rsid w:val="00FD09A1"/>
    <w:rsid w:val="00FD2A7C"/>
    <w:rsid w:val="00FD59EB"/>
    <w:rsid w:val="00FD6A57"/>
    <w:rsid w:val="00FD6E3F"/>
    <w:rsid w:val="00FD7299"/>
    <w:rsid w:val="00FE1FBE"/>
    <w:rsid w:val="00FE3901"/>
    <w:rsid w:val="00FE39D3"/>
    <w:rsid w:val="00FE4BCE"/>
    <w:rsid w:val="00FE54AE"/>
    <w:rsid w:val="00FE576A"/>
    <w:rsid w:val="00FE7E79"/>
    <w:rsid w:val="00FF3E7D"/>
    <w:rsid w:val="00FF5B05"/>
    <w:rsid w:val="00FF5B99"/>
    <w:rsid w:val="00FF730C"/>
    <w:rsid w:val="00FF73F4"/>
    <w:rsid w:val="00FF7CE4"/>
    <w:rsid w:val="00FF7E39"/>
    <w:rsid w:val="0A880F28"/>
    <w:rsid w:val="0AD52671"/>
    <w:rsid w:val="27293FA9"/>
    <w:rsid w:val="31687BA1"/>
    <w:rsid w:val="56A27DDF"/>
    <w:rsid w:val="637B784E"/>
    <w:rsid w:val="6E06261F"/>
    <w:rsid w:val="6E5E02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spacing w:before="280" w:after="290" w:line="376" w:lineRule="auto"/>
      <w:outlineLvl w:val="4"/>
    </w:pPr>
    <w:rPr>
      <w:b/>
      <w:bCs/>
      <w:sz w:val="28"/>
      <w:szCs w:val="28"/>
    </w:rPr>
  </w:style>
  <w:style w:type="paragraph" w:styleId="7">
    <w:name w:val="heading 6"/>
    <w:basedOn w:val="1"/>
    <w:next w:val="1"/>
    <w:link w:val="39"/>
    <w:qFormat/>
    <w:uiPriority w:val="0"/>
    <w:pPr>
      <w:keepNext/>
      <w:keepLines/>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spacing w:before="240" w:after="64" w:line="320" w:lineRule="auto"/>
      <w:outlineLvl w:val="6"/>
    </w:pPr>
    <w:rPr>
      <w:b/>
      <w:bCs/>
      <w:sz w:val="24"/>
      <w:szCs w:val="24"/>
    </w:rPr>
  </w:style>
  <w:style w:type="paragraph" w:styleId="9">
    <w:name w:val="heading 8"/>
    <w:basedOn w:val="1"/>
    <w:next w:val="1"/>
    <w:link w:val="41"/>
    <w:qFormat/>
    <w:uiPriority w:val="0"/>
    <w:pPr>
      <w:keepNext/>
      <w:keepLines/>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snapToGrid w:val="0"/>
      <w:jc w:val="right"/>
    </w:pPr>
    <w:rPr>
      <w:rFonts w:ascii="宋体"/>
      <w:sz w:val="18"/>
      <w:szCs w:val="18"/>
    </w:rPr>
  </w:style>
  <w:style w:type="paragraph" w:styleId="18">
    <w:name w:val="header"/>
    <w:basedOn w:val="1"/>
    <w:link w:val="43"/>
    <w:qFormat/>
    <w:uiPriority w:val="99"/>
    <w:pPr>
      <w:tabs>
        <w:tab w:val="center" w:pos="4153"/>
        <w:tab w:val="right" w:pos="8306"/>
      </w:tabs>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snapToGrid w:val="0"/>
      <w:spacing w:line="300" w:lineRule="exact"/>
      <w:ind w:left="400" w:leftChars="200" w:hanging="200" w:hangingChars="200"/>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shd w:val="clear" w:color="FFFFFF" w:fill="FFFFFF"/>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shd w:val="clear" w:color="FFFFFF" w:fill="FFFFFF"/>
      <w:spacing w:before="560" w:after="50" w:afterLines="50"/>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jc w:val="center"/>
    </w:pPr>
    <w:rPr>
      <w:rFonts w:ascii="黑体" w:eastAsia="黑体"/>
      <w:kern w:val="0"/>
      <w:sz w:val="52"/>
    </w:rPr>
  </w:style>
  <w:style w:type="paragraph" w:customStyle="1" w:styleId="71">
    <w:name w:val="标准文件_封面标准英文名称"/>
    <w:basedOn w:val="1"/>
    <w:qFormat/>
    <w:uiPriority w:val="0"/>
    <w:pPr>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snapToGrid/>
      <w:ind w:left="79" w:hanging="79" w:hangingChars="80"/>
    </w:pPr>
    <w:rPr>
      <w:rFonts w:ascii="宋体" w:hAnsi="宋体"/>
    </w:rPr>
  </w:style>
  <w:style w:type="paragraph" w:customStyle="1" w:styleId="109">
    <w:name w:val="标准文件_数字编号列项（二级）"/>
    <w:qFormat/>
    <w:uiPriority w:val="0"/>
    <w:pPr>
      <w:numPr>
        <w:ilvl w:val="1"/>
        <w:numId w:val="13"/>
      </w:numPr>
      <w:tabs>
        <w:tab w:val="left" w:pos="851"/>
      </w:tabs>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tabs>
        <w:tab w:val="left" w:pos="851"/>
      </w:tabs>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ordWrap w:val="0"/>
      <w:overflowPunct w:val="0"/>
      <w:autoSpaceDE w:val="0"/>
      <w:autoSpaceDN w:val="0"/>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rPr>
      <w:bCs/>
      <w:iCs/>
    </w:rPr>
  </w:style>
  <w:style w:type="paragraph" w:customStyle="1" w:styleId="143">
    <w:name w:val="目录 31"/>
    <w:basedOn w:val="1"/>
    <w:next w:val="1"/>
    <w:autoRedefine/>
    <w:semiHidden/>
    <w:qFormat/>
    <w:uiPriority w:val="0"/>
    <w:rPr>
      <w:rFonts w:ascii="宋体" w:hAnsi="宋体"/>
      <w:iCs/>
    </w:rPr>
  </w:style>
  <w:style w:type="paragraph" w:customStyle="1" w:styleId="144">
    <w:name w:val="目录 41"/>
    <w:basedOn w:val="1"/>
    <w:next w:val="1"/>
    <w:autoRedefine/>
    <w:semiHidden/>
    <w:qFormat/>
    <w:uiPriority w:val="0"/>
  </w:style>
  <w:style w:type="paragraph" w:customStyle="1" w:styleId="145">
    <w:name w:val="目录 51"/>
    <w:basedOn w:val="1"/>
    <w:next w:val="1"/>
    <w:autoRedefine/>
    <w:semiHidden/>
    <w:qFormat/>
    <w:uiPriority w:val="0"/>
    <w:rPr>
      <w:rFonts w:ascii="宋体" w:hAnsi="宋体"/>
    </w:rPr>
  </w:style>
  <w:style w:type="paragraph" w:customStyle="1" w:styleId="146">
    <w:name w:val="目录 61"/>
    <w:basedOn w:val="1"/>
    <w:next w:val="1"/>
    <w:autoRedefine/>
    <w:semiHidden/>
    <w:qFormat/>
    <w:uiPriority w:val="0"/>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pPr>
    <w:rPr>
      <w:szCs w:val="24"/>
    </w:rPr>
  </w:style>
  <w:style w:type="paragraph" w:customStyle="1" w:styleId="159">
    <w:name w:val="一级无标题条"/>
    <w:basedOn w:val="1"/>
    <w:qFormat/>
    <w:uiPriority w:val="0"/>
    <w:pPr>
      <w:numPr>
        <w:ilvl w:val="2"/>
        <w:numId w:val="20"/>
      </w:numPr>
      <w:spacing w:before="10" w:after="10"/>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numPr>
        <w:ilvl w:val="0"/>
        <w:numId w:val="29"/>
      </w:numPr>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table" w:customStyle="1" w:styleId="230">
    <w:name w:val="网格型1"/>
    <w:basedOn w:val="26"/>
    <w:unhideWhenUsed/>
    <w:qFormat/>
    <w:uiPriority w:val="99"/>
    <w:rPr>
      <w:rFonts w:ascii="Times New Roman" w:hAnsi="Times New Roma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
    <w:name w:val="Table Text"/>
    <w:basedOn w:val="1"/>
    <w:semiHidden/>
    <w:qFormat/>
    <w:uiPriority w:val="0"/>
    <w:pPr>
      <w:kinsoku w:val="0"/>
      <w:autoSpaceDE w:val="0"/>
      <w:autoSpaceDN w:val="0"/>
      <w:adjustRightInd w:val="0"/>
      <w:snapToGrid w:val="0"/>
      <w:textAlignment w:val="baseline"/>
    </w:pPr>
    <w:rPr>
      <w:rFonts w:ascii="宋体" w:hAnsi="宋体" w:cs="宋体"/>
      <w:color w:val="000000"/>
      <w:kern w:val="0"/>
      <w:sz w:val="18"/>
      <w:szCs w:val="18"/>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glossaryDocument" Target="glossary/document.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3.jpeg"/><Relationship Id="rId14" Type="http://schemas.openxmlformats.org/officeDocument/2006/relationships/image" Target="media/image2.png"/><Relationship Id="rId13" Type="http://schemas.openxmlformats.org/officeDocument/2006/relationships/image" Target="media/image1.png"/><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96745F35693143459E8216A74703ADA2"/>
        <w:style w:val=""/>
        <w:category>
          <w:name w:val="常规"/>
          <w:gallery w:val="placeholder"/>
        </w:category>
        <w:types>
          <w:type w:val="bbPlcHdr"/>
        </w:types>
        <w:behaviors>
          <w:behavior w:val="content"/>
        </w:behaviors>
        <w:description w:val=""/>
        <w:guid w:val="{121EAB16-9CC2-49D2-9E31-F4B988E4B5D7}"/>
      </w:docPartPr>
      <w:docPartBody>
        <w:p w14:paraId="4D4B07A3">
          <w:pPr>
            <w:pStyle w:val="5"/>
          </w:pPr>
          <w:r>
            <w:rPr>
              <w:rStyle w:val="4"/>
              <w:rFonts w:hint="eastAsia"/>
            </w:rPr>
            <w:t>单击或点击此处输入文字。</w:t>
          </w:r>
        </w:p>
      </w:docPartBody>
    </w:docPart>
    <w:docPart>
      <w:docPartPr>
        <w:name w:val="560D472249A84AE5803AB3EF1F849BCF"/>
        <w:style w:val=""/>
        <w:category>
          <w:name w:val="常规"/>
          <w:gallery w:val="placeholder"/>
        </w:category>
        <w:types>
          <w:type w:val="bbPlcHdr"/>
        </w:types>
        <w:behaviors>
          <w:behavior w:val="content"/>
        </w:behaviors>
        <w:description w:val=""/>
        <w:guid w:val="{1B23A67D-8386-4A10-9E35-43A59C428326}"/>
      </w:docPartPr>
      <w:docPartBody>
        <w:p w14:paraId="7F787189">
          <w:pPr>
            <w:pStyle w:val="6"/>
          </w:pPr>
          <w:r>
            <w:rPr>
              <w:rStyle w:val="4"/>
              <w:rFonts w:hint="eastAsia"/>
            </w:rPr>
            <w:t>选择一项。</w:t>
          </w:r>
        </w:p>
      </w:docPartBody>
    </w:docPart>
    <w:docPart>
      <w:docPartPr>
        <w:name w:val="31B9BD1B59A74957BF4F4F2B0F09D18B"/>
        <w:style w:val=""/>
        <w:category>
          <w:name w:val="常规"/>
          <w:gallery w:val="placeholder"/>
        </w:category>
        <w:types>
          <w:type w:val="bbPlcHdr"/>
        </w:types>
        <w:behaviors>
          <w:behavior w:val="content"/>
        </w:behaviors>
        <w:description w:val=""/>
        <w:guid w:val="{9659AEAB-A20D-4690-8A4F-0DC1A53336DC}"/>
      </w:docPartPr>
      <w:docPartBody>
        <w:p w14:paraId="06984A42">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07"/>
    <w:rsid w:val="00396833"/>
    <w:rsid w:val="00581080"/>
    <w:rsid w:val="00A07509"/>
    <w:rsid w:val="00F463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96745F35693143459E8216A74703ADA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560D472249A84AE5803AB3EF1F849BCF"/>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31B9BD1B59A74957BF4F4F2B0F09D18B"/>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708C30E-B454-4FA9-AEDD-54CB30C75971}">
  <ds:schemaRefs/>
</ds:datastoreItem>
</file>

<file path=docProps/app.xml><?xml version="1.0" encoding="utf-8"?>
<Properties xmlns="http://schemas.openxmlformats.org/officeDocument/2006/extended-properties" xmlns:vt="http://schemas.openxmlformats.org/officeDocument/2006/docPropsVTypes">
  <Template>团体标准.dotx</Template>
  <Company>PCMI</Company>
  <Pages>7</Pages>
  <Words>2340</Words>
  <Characters>2614</Characters>
  <Lines>39</Lines>
  <Paragraphs>11</Paragraphs>
  <TotalTime>0</TotalTime>
  <ScaleCrop>false</ScaleCrop>
  <LinksUpToDate>false</LinksUpToDate>
  <CharactersWithSpaces>2729</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2025-09-22T01:30:00Z</dcterms:created>
  <dc:creator>USER</dc:creator>
  <dc:description>&lt;config cover="true" show_menu="true" version="1.0.0" doctype="SDKXY"&gt;_x000d_
&lt;/config&gt;</dc:description>
  <cp:lastModifiedBy>誰念誰川</cp:lastModifiedBy>
  <cp:lastPrinted>2021-02-02T08:22:00Z</cp:lastPrinted>
  <dcterms:modified xsi:type="dcterms:W3CDTF">2025-10-31T12:44:58Z</dcterms:modified>
  <dc:title>团体标准</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eyJoZGlkIjoiNmU0OWNhMGUyYzc2MTI5ZWY2NzM4MTVkMDAwODg0YzMiLCJ1c2VySWQiOiIxOTA2MDI2MDgifQ==</vt:lpwstr>
  </property>
  <property fmtid="{D5CDD505-2E9C-101B-9397-08002B2CF9AE}" pid="15" name="KSOProductBuildVer">
    <vt:lpwstr>2052-12.1.0.23125</vt:lpwstr>
  </property>
  <property fmtid="{D5CDD505-2E9C-101B-9397-08002B2CF9AE}" pid="16" name="ICV">
    <vt:lpwstr>7F0283F6E28A4C2CA2E0E4AE70E341FD_12</vt:lpwstr>
  </property>
</Properties>
</file>